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9E854" w14:textId="77777777" w:rsidR="004B0E4C" w:rsidRPr="004B0E4C" w:rsidRDefault="004B0E4C" w:rsidP="004B0E4C">
      <w:pPr>
        <w:spacing w:after="200" w:line="276" w:lineRule="auto"/>
        <w:jc w:val="center"/>
        <w:rPr>
          <w:rFonts w:ascii="Calibri" w:eastAsia="Calibri" w:hAnsi="Calibri" w:cs="Times New Roman"/>
          <w:b/>
          <w:kern w:val="0"/>
          <w:u w:val="single"/>
          <w14:ligatures w14:val="none"/>
        </w:rPr>
      </w:pPr>
    </w:p>
    <w:p w14:paraId="0FF2A7A6" w14:textId="254E43C4" w:rsidR="004B0E4C" w:rsidRPr="004B0E4C" w:rsidRDefault="004B0E4C" w:rsidP="004B0E4C">
      <w:pPr>
        <w:spacing w:after="200" w:line="276" w:lineRule="auto"/>
        <w:jc w:val="center"/>
        <w:rPr>
          <w:rFonts w:ascii="Calibri" w:eastAsia="Calibri" w:hAnsi="Calibri" w:cs="Times New Roman"/>
          <w:b/>
          <w:kern w:val="0"/>
          <w:u w:val="single"/>
          <w14:ligatures w14:val="none"/>
        </w:rPr>
      </w:pPr>
      <w:r>
        <w:rPr>
          <w:rFonts w:ascii="Calibri" w:eastAsia="Calibri" w:hAnsi="Calibri" w:cs="Times New Roman"/>
          <w:b/>
          <w:kern w:val="0"/>
          <w:u w:val="single"/>
          <w14:ligatures w14:val="none"/>
        </w:rPr>
        <w:t>GRANTOWN ON SPEY</w:t>
      </w:r>
      <w:r w:rsidRPr="004B0E4C">
        <w:rPr>
          <w:rFonts w:ascii="Calibri" w:eastAsia="Calibri" w:hAnsi="Calibri" w:cs="Times New Roman"/>
          <w:b/>
          <w:kern w:val="0"/>
          <w:u w:val="single"/>
          <w14:ligatures w14:val="none"/>
        </w:rPr>
        <w:t xml:space="preserve"> COMMON GOOD</w:t>
      </w:r>
    </w:p>
    <w:p w14:paraId="0FFE24AA" w14:textId="77777777" w:rsidR="00D933CC" w:rsidRDefault="004B0E4C" w:rsidP="004B0E4C">
      <w:pPr>
        <w:spacing w:after="200" w:line="276" w:lineRule="auto"/>
        <w:jc w:val="center"/>
        <w:rPr>
          <w:rFonts w:ascii="Calibri" w:eastAsia="Calibri" w:hAnsi="Calibri" w:cs="Times New Roman"/>
          <w:b/>
          <w:kern w:val="0"/>
          <w:u w:val="single"/>
          <w14:ligatures w14:val="none"/>
        </w:rPr>
      </w:pPr>
      <w:r w:rsidRPr="004B0E4C">
        <w:rPr>
          <w:rFonts w:ascii="Calibri" w:eastAsia="Calibri" w:hAnsi="Calibri" w:cs="Times New Roman"/>
          <w:b/>
          <w:kern w:val="0"/>
          <w:u w:val="single"/>
          <w14:ligatures w14:val="none"/>
        </w:rPr>
        <w:t xml:space="preserve">CONSULTATION ON THE PROPOSAL TO </w:t>
      </w:r>
      <w:r>
        <w:rPr>
          <w:rFonts w:ascii="Calibri" w:eastAsia="Calibri" w:hAnsi="Calibri" w:cs="Times New Roman"/>
          <w:b/>
          <w:kern w:val="0"/>
          <w:u w:val="single"/>
          <w14:ligatures w14:val="none"/>
        </w:rPr>
        <w:t>CHANGE THE USE OF GRANTOWN ON SPEY MARKET SQUARE</w:t>
      </w:r>
    </w:p>
    <w:p w14:paraId="6B164991" w14:textId="3F2F2DD5" w:rsidR="004B0E4C" w:rsidRPr="004B0E4C" w:rsidRDefault="004B0E4C" w:rsidP="004B0E4C">
      <w:pPr>
        <w:spacing w:after="200" w:line="276" w:lineRule="auto"/>
        <w:jc w:val="center"/>
        <w:rPr>
          <w:rFonts w:ascii="Calibri" w:eastAsia="Calibri" w:hAnsi="Calibri" w:cs="Times New Roman"/>
          <w:b/>
          <w:kern w:val="0"/>
          <w:u w:val="single"/>
          <w14:ligatures w14:val="none"/>
        </w:rPr>
      </w:pPr>
      <w:r>
        <w:rPr>
          <w:rFonts w:ascii="Calibri" w:eastAsia="Calibri" w:hAnsi="Calibri" w:cs="Times New Roman"/>
          <w:b/>
          <w:kern w:val="0"/>
          <w:u w:val="single"/>
          <w14:ligatures w14:val="none"/>
        </w:rPr>
        <w:t>TO ALLOW FOR THE INTRODUCTION OF MANDATORY CHARGING FOR MARKET PITCHES, EVENTS AND STALLS.</w:t>
      </w:r>
    </w:p>
    <w:p w14:paraId="51113DB4" w14:textId="77777777" w:rsidR="004B0E4C" w:rsidRPr="004B0E4C" w:rsidRDefault="004B0E4C" w:rsidP="004B0E4C">
      <w:pPr>
        <w:spacing w:after="200" w:line="276" w:lineRule="auto"/>
        <w:jc w:val="center"/>
        <w:rPr>
          <w:rFonts w:ascii="Calibri" w:eastAsia="Calibri" w:hAnsi="Calibri" w:cs="Times New Roman"/>
          <w:b/>
          <w:kern w:val="0"/>
          <w:u w:val="single"/>
          <w14:ligatures w14:val="none"/>
        </w:rPr>
      </w:pPr>
      <w:r w:rsidRPr="004B0E4C">
        <w:rPr>
          <w:rFonts w:ascii="Calibri" w:eastAsia="Calibri" w:hAnsi="Calibri" w:cs="Times New Roman"/>
          <w:b/>
          <w:kern w:val="0"/>
          <w:u w:val="single"/>
          <w14:ligatures w14:val="none"/>
        </w:rPr>
        <w:t>DECISION</w:t>
      </w:r>
    </w:p>
    <w:p w14:paraId="1D791050" w14:textId="0BD01AA1" w:rsidR="004B0E4C" w:rsidRPr="004B0E4C" w:rsidRDefault="004B0E4C" w:rsidP="004B0E4C">
      <w:pPr>
        <w:spacing w:after="200" w:line="276" w:lineRule="auto"/>
        <w:rPr>
          <w:rFonts w:ascii="Calibri" w:eastAsia="Calibri" w:hAnsi="Calibri" w:cs="Times New Roman"/>
          <w:bCs/>
          <w:kern w:val="0"/>
          <w14:ligatures w14:val="none"/>
        </w:rPr>
      </w:pPr>
      <w:r w:rsidRPr="004B0E4C">
        <w:rPr>
          <w:rFonts w:ascii="Calibri" w:eastAsia="Calibri" w:hAnsi="Calibri" w:cs="Times New Roman"/>
          <w:bCs/>
          <w:kern w:val="0"/>
          <w14:ligatures w14:val="none"/>
        </w:rPr>
        <w:t xml:space="preserve">On </w:t>
      </w:r>
      <w:r w:rsidR="00DF4E16">
        <w:rPr>
          <w:rFonts w:ascii="Calibri" w:eastAsia="Calibri" w:hAnsi="Calibri" w:cs="Times New Roman"/>
          <w:bCs/>
          <w:kern w:val="0"/>
          <w14:ligatures w14:val="none"/>
        </w:rPr>
        <w:t>3</w:t>
      </w:r>
      <w:r w:rsidRPr="004B0E4C">
        <w:rPr>
          <w:rFonts w:ascii="Calibri" w:eastAsia="Calibri" w:hAnsi="Calibri" w:cs="Times New Roman"/>
          <w:bCs/>
          <w:kern w:val="0"/>
          <w14:ligatures w14:val="none"/>
        </w:rPr>
        <w:t xml:space="preserve"> </w:t>
      </w:r>
      <w:r w:rsidR="00DF4E16">
        <w:rPr>
          <w:rFonts w:ascii="Calibri" w:eastAsia="Calibri" w:hAnsi="Calibri" w:cs="Times New Roman"/>
          <w:bCs/>
          <w:kern w:val="0"/>
          <w14:ligatures w14:val="none"/>
        </w:rPr>
        <w:t>June</w:t>
      </w:r>
      <w:r w:rsidRPr="004B0E4C">
        <w:rPr>
          <w:rFonts w:ascii="Calibri" w:eastAsia="Calibri" w:hAnsi="Calibri" w:cs="Times New Roman"/>
          <w:bCs/>
          <w:kern w:val="0"/>
          <w14:ligatures w14:val="none"/>
        </w:rPr>
        <w:t xml:space="preserve"> 202</w:t>
      </w:r>
      <w:r w:rsidR="00DF4E16">
        <w:rPr>
          <w:rFonts w:ascii="Calibri" w:eastAsia="Calibri" w:hAnsi="Calibri" w:cs="Times New Roman"/>
          <w:bCs/>
          <w:kern w:val="0"/>
          <w14:ligatures w14:val="none"/>
        </w:rPr>
        <w:t>4</w:t>
      </w:r>
      <w:r w:rsidRPr="004B0E4C">
        <w:rPr>
          <w:rFonts w:ascii="Calibri" w:eastAsia="Calibri" w:hAnsi="Calibri" w:cs="Times New Roman"/>
          <w:bCs/>
          <w:kern w:val="0"/>
          <w14:ligatures w14:val="none"/>
        </w:rPr>
        <w:t xml:space="preserve"> the </w:t>
      </w:r>
      <w:r w:rsidR="00DF4E16">
        <w:rPr>
          <w:rFonts w:ascii="Calibri" w:eastAsia="Calibri" w:hAnsi="Calibri" w:cs="Times New Roman"/>
          <w:bCs/>
          <w:kern w:val="0"/>
          <w14:ligatures w14:val="none"/>
        </w:rPr>
        <w:t>Badenoch &amp; Strathspey</w:t>
      </w:r>
      <w:r w:rsidRPr="004B0E4C">
        <w:rPr>
          <w:rFonts w:ascii="Calibri" w:eastAsia="Calibri" w:hAnsi="Calibri" w:cs="Times New Roman"/>
          <w:bCs/>
          <w:kern w:val="0"/>
          <w14:ligatures w14:val="none"/>
        </w:rPr>
        <w:t xml:space="preserve"> Area Committee considered the outcome of the public consultation conducted pursuant to section 104 Community Empowerment (Scotland) Act 2015 in respect of the  proposals detailed above. </w:t>
      </w:r>
    </w:p>
    <w:p w14:paraId="48739272" w14:textId="7BCEA840" w:rsidR="004B0E4C" w:rsidRDefault="004B0E4C" w:rsidP="004B0E4C">
      <w:pPr>
        <w:rPr>
          <w:rFonts w:ascii="Calibri" w:eastAsia="Calibri" w:hAnsi="Calibri" w:cs="Times New Roman"/>
          <w:kern w:val="0"/>
          <w14:ligatures w14:val="none"/>
        </w:rPr>
      </w:pPr>
      <w:r w:rsidRPr="004B0E4C">
        <w:rPr>
          <w:rFonts w:ascii="Calibri" w:eastAsia="Calibri" w:hAnsi="Calibri" w:cs="Times New Roman"/>
          <w:kern w:val="0"/>
          <w14:ligatures w14:val="none"/>
        </w:rPr>
        <w:t xml:space="preserve">Members considered the analysis of the outcome of the consultation and had regard to all representations received. Members debated </w:t>
      </w:r>
      <w:r w:rsidR="00A60D73">
        <w:rPr>
          <w:rFonts w:ascii="Calibri" w:eastAsia="Calibri" w:hAnsi="Calibri" w:cs="Times New Roman"/>
          <w:kern w:val="0"/>
          <w14:ligatures w14:val="none"/>
        </w:rPr>
        <w:t>the decision making options in respect of the consultation outcome namely:</w:t>
      </w:r>
    </w:p>
    <w:p w14:paraId="1543C844" w14:textId="2027B077" w:rsidR="00A60D73" w:rsidRDefault="00A60D73" w:rsidP="00A60D73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  <w:kern w:val="0"/>
          <w14:ligatures w14:val="none"/>
        </w:rPr>
      </w:pPr>
      <w:r>
        <w:rPr>
          <w:rFonts w:ascii="Calibri" w:eastAsia="Calibri" w:hAnsi="Calibri" w:cs="Times New Roman"/>
          <w:kern w:val="0"/>
          <w14:ligatures w14:val="none"/>
        </w:rPr>
        <w:t>Proposal proceed as drawn.</w:t>
      </w:r>
    </w:p>
    <w:p w14:paraId="4AD0AB81" w14:textId="2DA97BC8" w:rsidR="00A60D73" w:rsidRDefault="00A60D73" w:rsidP="00A60D73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  <w:kern w:val="0"/>
          <w14:ligatures w14:val="none"/>
        </w:rPr>
      </w:pPr>
      <w:r>
        <w:rPr>
          <w:rFonts w:ascii="Calibri" w:eastAsia="Calibri" w:hAnsi="Calibri" w:cs="Times New Roman"/>
          <w:kern w:val="0"/>
          <w14:ligatures w14:val="none"/>
        </w:rPr>
        <w:t>Proposal be amended.</w:t>
      </w:r>
    </w:p>
    <w:p w14:paraId="181DE48A" w14:textId="5748D531" w:rsidR="00A60D73" w:rsidRPr="00A60D73" w:rsidRDefault="00A60D73" w:rsidP="00A60D73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  <w:kern w:val="0"/>
          <w14:ligatures w14:val="none"/>
        </w:rPr>
      </w:pPr>
      <w:r>
        <w:rPr>
          <w:rFonts w:ascii="Calibri" w:eastAsia="Calibri" w:hAnsi="Calibri" w:cs="Times New Roman"/>
          <w:kern w:val="0"/>
          <w14:ligatures w14:val="none"/>
        </w:rPr>
        <w:t>Proposal is refused.</w:t>
      </w:r>
    </w:p>
    <w:p w14:paraId="14C600E6" w14:textId="62A5EA95" w:rsidR="004B0E4C" w:rsidRDefault="00A60D73" w:rsidP="004B0E4C">
      <w:pPr>
        <w:rPr>
          <w:rFonts w:ascii="Calibri" w:eastAsia="Calibri" w:hAnsi="Calibri" w:cs="Times New Roman"/>
          <w:kern w:val="0"/>
          <w14:ligatures w14:val="none"/>
        </w:rPr>
      </w:pPr>
      <w:r>
        <w:rPr>
          <w:rFonts w:ascii="Calibri" w:eastAsia="Calibri" w:hAnsi="Calibri" w:cs="Times New Roman"/>
          <w:kern w:val="0"/>
          <w14:ligatures w14:val="none"/>
        </w:rPr>
        <w:t xml:space="preserve">Although the recommendation of the report was that the proposal to change the use to mandatory charging should not proceed Members, after fully considering all the information, </w:t>
      </w:r>
      <w:r w:rsidR="00D933CC">
        <w:rPr>
          <w:rFonts w:ascii="Calibri" w:eastAsia="Calibri" w:hAnsi="Calibri" w:cs="Times New Roman"/>
          <w:kern w:val="0"/>
          <w14:ligatures w14:val="none"/>
        </w:rPr>
        <w:t>decided that the proposal as originally drawn should be approved. A motion to this effect was tabled, seconded and agreed.</w:t>
      </w:r>
    </w:p>
    <w:p w14:paraId="3B6B43B3" w14:textId="0552FB16" w:rsidR="00D933CC" w:rsidRDefault="00D933CC" w:rsidP="004B0E4C">
      <w:pPr>
        <w:rPr>
          <w:rFonts w:ascii="Calibri" w:eastAsia="Calibri" w:hAnsi="Calibri" w:cs="Times New Roman"/>
          <w:b/>
          <w:bCs/>
          <w:kern w:val="0"/>
          <w:u w:val="single"/>
          <w14:ligatures w14:val="none"/>
        </w:rPr>
      </w:pPr>
      <w:r>
        <w:rPr>
          <w:rFonts w:ascii="Calibri" w:eastAsia="Calibri" w:hAnsi="Calibri" w:cs="Times New Roman"/>
          <w:b/>
          <w:bCs/>
          <w:kern w:val="0"/>
          <w:u w:val="single"/>
          <w14:ligatures w14:val="none"/>
        </w:rPr>
        <w:t>Decision</w:t>
      </w:r>
    </w:p>
    <w:p w14:paraId="0510B0D9" w14:textId="6522535D" w:rsidR="00D933CC" w:rsidRPr="004B0E4C" w:rsidRDefault="00D933CC" w:rsidP="004B0E4C">
      <w:pPr>
        <w:rPr>
          <w:rFonts w:ascii="Calibri" w:eastAsia="Calibri" w:hAnsi="Calibri" w:cs="Times New Roman"/>
          <w:kern w:val="0"/>
          <w14:ligatures w14:val="none"/>
        </w:rPr>
      </w:pPr>
      <w:r>
        <w:rPr>
          <w:rFonts w:ascii="Calibri" w:eastAsia="Calibri" w:hAnsi="Calibri" w:cs="Times New Roman"/>
          <w:kern w:val="0"/>
          <w14:ligatures w14:val="none"/>
        </w:rPr>
        <w:t>The use of Grantown on Spey Market Square to be changed to allow for the introduction of mandatory charging for market pitches, events and stalls.</w:t>
      </w:r>
    </w:p>
    <w:p w14:paraId="0B1D3719" w14:textId="77777777" w:rsidR="004B0E4C" w:rsidRPr="004B0E4C" w:rsidRDefault="004B0E4C" w:rsidP="004B0E4C">
      <w:pPr>
        <w:rPr>
          <w:rFonts w:ascii="Calibri" w:eastAsia="Calibri" w:hAnsi="Calibri" w:cs="Times New Roman"/>
          <w:bCs/>
          <w:kern w:val="0"/>
          <w14:ligatures w14:val="none"/>
        </w:rPr>
      </w:pPr>
    </w:p>
    <w:p w14:paraId="7AD76EC1" w14:textId="77777777" w:rsidR="004B0E4C" w:rsidRPr="004B0E4C" w:rsidRDefault="004B0E4C" w:rsidP="004B0E4C">
      <w:pPr>
        <w:tabs>
          <w:tab w:val="left" w:pos="1020"/>
        </w:tabs>
        <w:ind w:left="284"/>
        <w:rPr>
          <w:rFonts w:ascii="Calibri" w:eastAsia="Calibri" w:hAnsi="Calibri" w:cs="Times New Roman"/>
          <w:b/>
          <w:kern w:val="0"/>
          <w14:ligatures w14:val="none"/>
        </w:rPr>
      </w:pPr>
    </w:p>
    <w:p w14:paraId="35C0D68E" w14:textId="77777777" w:rsidR="004B0E4C" w:rsidRPr="004B0E4C" w:rsidRDefault="004B0E4C" w:rsidP="004B0E4C">
      <w:pPr>
        <w:spacing w:after="200" w:line="276" w:lineRule="auto"/>
        <w:ind w:left="720"/>
        <w:contextualSpacing/>
        <w:rPr>
          <w:rFonts w:ascii="Calibri" w:eastAsia="Calibri" w:hAnsi="Calibri" w:cs="Times New Roman"/>
          <w:b/>
          <w:kern w:val="0"/>
          <w:u w:val="single"/>
          <w14:ligatures w14:val="none"/>
        </w:rPr>
      </w:pPr>
    </w:p>
    <w:p w14:paraId="41F3C38D" w14:textId="77777777" w:rsidR="004B0E4C" w:rsidRPr="004B0E4C" w:rsidRDefault="004B0E4C" w:rsidP="004B0E4C">
      <w:pPr>
        <w:spacing w:after="200" w:line="276" w:lineRule="auto"/>
        <w:jc w:val="center"/>
        <w:rPr>
          <w:rFonts w:ascii="Calibri" w:eastAsia="Calibri" w:hAnsi="Calibri" w:cs="Times New Roman"/>
          <w:b/>
          <w:kern w:val="0"/>
          <w:u w:val="single"/>
          <w14:ligatures w14:val="none"/>
        </w:rPr>
      </w:pPr>
    </w:p>
    <w:p w14:paraId="3FA1DA61" w14:textId="77777777" w:rsidR="004B0E4C" w:rsidRPr="004B0E4C" w:rsidRDefault="004B0E4C" w:rsidP="004B0E4C">
      <w:pPr>
        <w:spacing w:after="200" w:line="276" w:lineRule="auto"/>
        <w:rPr>
          <w:rFonts w:ascii="Calibri" w:eastAsia="Calibri" w:hAnsi="Calibri" w:cs="Times New Roman"/>
          <w:bCs/>
          <w:kern w:val="0"/>
          <w14:ligatures w14:val="none"/>
        </w:rPr>
      </w:pPr>
    </w:p>
    <w:p w14:paraId="3F439321" w14:textId="77777777" w:rsidR="004B0E4C" w:rsidRPr="004B0E4C" w:rsidRDefault="004B0E4C" w:rsidP="004B0E4C">
      <w:pPr>
        <w:spacing w:after="200" w:line="276" w:lineRule="auto"/>
        <w:ind w:left="1440"/>
        <w:contextualSpacing/>
        <w:rPr>
          <w:rFonts w:ascii="Calibri" w:eastAsia="Calibri" w:hAnsi="Calibri" w:cs="Times New Roman"/>
          <w:bCs/>
          <w:kern w:val="0"/>
          <w14:ligatures w14:val="none"/>
        </w:rPr>
      </w:pPr>
    </w:p>
    <w:p w14:paraId="1E70354D" w14:textId="77777777" w:rsidR="004B0E4C" w:rsidRPr="004B0E4C" w:rsidRDefault="004B0E4C" w:rsidP="004B0E4C">
      <w:pPr>
        <w:spacing w:after="200" w:line="276" w:lineRule="auto"/>
        <w:rPr>
          <w:rFonts w:ascii="Calibri" w:eastAsia="Calibri" w:hAnsi="Calibri" w:cs="Times New Roman"/>
          <w:kern w:val="0"/>
          <w14:ligatures w14:val="none"/>
        </w:rPr>
      </w:pPr>
    </w:p>
    <w:p w14:paraId="51B99C6B" w14:textId="77777777" w:rsidR="004B0E4C" w:rsidRPr="004B0E4C" w:rsidRDefault="004B0E4C" w:rsidP="004B0E4C">
      <w:pPr>
        <w:spacing w:after="200" w:line="276" w:lineRule="auto"/>
        <w:rPr>
          <w:rFonts w:ascii="Calibri" w:eastAsia="Calibri" w:hAnsi="Calibri" w:cs="Times New Roman"/>
          <w:kern w:val="0"/>
          <w14:ligatures w14:val="none"/>
        </w:rPr>
      </w:pPr>
    </w:p>
    <w:p w14:paraId="58B29FB8" w14:textId="77777777" w:rsidR="004B0E4C" w:rsidRPr="004B0E4C" w:rsidRDefault="004B0E4C" w:rsidP="004B0E4C">
      <w:pPr>
        <w:spacing w:after="200" w:line="276" w:lineRule="auto"/>
        <w:rPr>
          <w:rFonts w:ascii="Calibri" w:eastAsia="Calibri" w:hAnsi="Calibri" w:cs="Times New Roman"/>
          <w:kern w:val="0"/>
          <w14:ligatures w14:val="none"/>
        </w:rPr>
      </w:pPr>
    </w:p>
    <w:p w14:paraId="57A6306E" w14:textId="77777777" w:rsidR="004B0E4C" w:rsidRPr="004B0E4C" w:rsidRDefault="004B0E4C" w:rsidP="004B0E4C">
      <w:pPr>
        <w:rPr>
          <w:rFonts w:ascii="Calibri" w:eastAsia="Calibri" w:hAnsi="Calibri" w:cs="Times New Roman"/>
          <w:kern w:val="0"/>
          <w14:ligatures w14:val="none"/>
        </w:rPr>
      </w:pPr>
    </w:p>
    <w:p w14:paraId="1D9CDCF5" w14:textId="77777777" w:rsidR="004B0E4C" w:rsidRPr="004B0E4C" w:rsidRDefault="004B0E4C" w:rsidP="004B0E4C">
      <w:pPr>
        <w:rPr>
          <w:rFonts w:ascii="Calibri" w:eastAsia="Calibri" w:hAnsi="Calibri" w:cs="Times New Roman"/>
          <w:kern w:val="0"/>
          <w14:ligatures w14:val="none"/>
        </w:rPr>
      </w:pPr>
    </w:p>
    <w:p w14:paraId="25D5532F" w14:textId="77777777" w:rsidR="004B0E4C" w:rsidRPr="004B0E4C" w:rsidRDefault="004B0E4C" w:rsidP="004B0E4C">
      <w:pPr>
        <w:rPr>
          <w:rFonts w:ascii="Calibri" w:eastAsia="Calibri" w:hAnsi="Calibri" w:cs="Times New Roman"/>
          <w:kern w:val="0"/>
          <w14:ligatures w14:val="none"/>
        </w:rPr>
      </w:pPr>
    </w:p>
    <w:p w14:paraId="03E5040D" w14:textId="77777777" w:rsidR="004B0E4C" w:rsidRPr="004B0E4C" w:rsidRDefault="004B0E4C" w:rsidP="004B0E4C">
      <w:pPr>
        <w:rPr>
          <w:rFonts w:ascii="Calibri" w:eastAsia="Calibri" w:hAnsi="Calibri" w:cs="Times New Roman"/>
          <w:kern w:val="0"/>
          <w14:ligatures w14:val="none"/>
        </w:rPr>
      </w:pPr>
    </w:p>
    <w:p w14:paraId="03D90F43" w14:textId="77777777" w:rsidR="004B0E4C" w:rsidRPr="004B0E4C" w:rsidRDefault="004B0E4C" w:rsidP="004B0E4C">
      <w:pPr>
        <w:rPr>
          <w:rFonts w:ascii="Calibri" w:eastAsia="Calibri" w:hAnsi="Calibri" w:cs="Times New Roman"/>
          <w:kern w:val="0"/>
          <w14:ligatures w14:val="none"/>
        </w:rPr>
      </w:pPr>
    </w:p>
    <w:p w14:paraId="392B3B15" w14:textId="77777777" w:rsidR="004B0E4C" w:rsidRPr="004B0E4C" w:rsidRDefault="004B0E4C" w:rsidP="004B0E4C">
      <w:pPr>
        <w:rPr>
          <w:rFonts w:ascii="Calibri" w:eastAsia="Calibri" w:hAnsi="Calibri" w:cs="Times New Roman"/>
          <w:kern w:val="0"/>
          <w14:ligatures w14:val="none"/>
        </w:rPr>
      </w:pPr>
    </w:p>
    <w:p w14:paraId="4A8661E1" w14:textId="77777777" w:rsidR="004B0E4C" w:rsidRPr="004B0E4C" w:rsidRDefault="004B0E4C" w:rsidP="004B0E4C">
      <w:pPr>
        <w:rPr>
          <w:rFonts w:ascii="Calibri" w:eastAsia="Calibri" w:hAnsi="Calibri" w:cs="Times New Roman"/>
          <w:kern w:val="0"/>
          <w14:ligatures w14:val="none"/>
        </w:rPr>
      </w:pPr>
    </w:p>
    <w:p w14:paraId="2065D8FF" w14:textId="77777777" w:rsidR="004B0E4C" w:rsidRPr="004B0E4C" w:rsidRDefault="004B0E4C" w:rsidP="004B0E4C">
      <w:pPr>
        <w:rPr>
          <w:rFonts w:ascii="Calibri" w:eastAsia="Calibri" w:hAnsi="Calibri" w:cs="Times New Roman"/>
          <w:kern w:val="0"/>
          <w14:ligatures w14:val="none"/>
        </w:rPr>
      </w:pPr>
    </w:p>
    <w:p w14:paraId="7E426375" w14:textId="77777777" w:rsidR="004B0E4C" w:rsidRPr="004B0E4C" w:rsidRDefault="004B0E4C" w:rsidP="004B0E4C">
      <w:pPr>
        <w:rPr>
          <w:rFonts w:ascii="Calibri" w:eastAsia="Calibri" w:hAnsi="Calibri" w:cs="Times New Roman"/>
          <w:kern w:val="0"/>
          <w14:ligatures w14:val="none"/>
        </w:rPr>
      </w:pPr>
    </w:p>
    <w:p w14:paraId="53EE81E1" w14:textId="77777777" w:rsidR="004B0E4C" w:rsidRPr="004B0E4C" w:rsidRDefault="004B0E4C" w:rsidP="004B0E4C">
      <w:pPr>
        <w:rPr>
          <w:rFonts w:ascii="Calibri" w:eastAsia="Calibri" w:hAnsi="Calibri" w:cs="Times New Roman"/>
          <w:kern w:val="0"/>
          <w14:ligatures w14:val="none"/>
        </w:rPr>
      </w:pPr>
    </w:p>
    <w:p w14:paraId="13A5BB8C" w14:textId="77777777" w:rsidR="004F155C" w:rsidRDefault="004F155C"/>
    <w:sectPr w:rsidR="004F155C" w:rsidSect="004B0E4C">
      <w:headerReference w:type="default" r:id="rId7"/>
      <w:footerReference w:type="default" r:id="rId8"/>
      <w:pgSz w:w="11906" w:h="16838"/>
      <w:pgMar w:top="1361" w:right="1134" w:bottom="136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913CF" w14:textId="77777777" w:rsidR="00D933CC" w:rsidRDefault="00D933CC" w:rsidP="00D933CC">
      <w:pPr>
        <w:spacing w:after="0" w:line="240" w:lineRule="auto"/>
      </w:pPr>
      <w:r>
        <w:separator/>
      </w:r>
    </w:p>
  </w:endnote>
  <w:endnote w:type="continuationSeparator" w:id="0">
    <w:p w14:paraId="3B83EDCC" w14:textId="77777777" w:rsidR="00D933CC" w:rsidRDefault="00D933CC" w:rsidP="00D93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A89E9" w14:textId="4CA00479" w:rsidR="008A7307" w:rsidRDefault="00D933CC">
    <w:pPr>
      <w:pStyle w:val="Footer"/>
    </w:pPr>
    <w:r>
      <w:t>June</w:t>
    </w:r>
    <w:r w:rsidR="008A7307">
      <w:t xml:space="preserve"> 202</w:t>
    </w:r>
    <w:r>
      <w:t>4</w:t>
    </w:r>
  </w:p>
  <w:p w14:paraId="091983CB" w14:textId="77777777" w:rsidR="008A7307" w:rsidRDefault="008A73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A2330" w14:textId="77777777" w:rsidR="00D933CC" w:rsidRDefault="00D933CC" w:rsidP="00D933CC">
      <w:pPr>
        <w:spacing w:after="0" w:line="240" w:lineRule="auto"/>
      </w:pPr>
      <w:r>
        <w:separator/>
      </w:r>
    </w:p>
  </w:footnote>
  <w:footnote w:type="continuationSeparator" w:id="0">
    <w:p w14:paraId="7FB17059" w14:textId="77777777" w:rsidR="00D933CC" w:rsidRDefault="00D933CC" w:rsidP="00D933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970AC" w14:textId="77777777" w:rsidR="008A7307" w:rsidRDefault="008A7307" w:rsidP="000250EE">
    <w:pPr>
      <w:pStyle w:val="Header"/>
      <w:jc w:val="right"/>
    </w:pPr>
    <w:r>
      <w:rPr>
        <w:noProof/>
      </w:rPr>
      <w:drawing>
        <wp:inline distT="0" distB="0" distL="0" distR="0" wp14:anchorId="17FE9B8C" wp14:editId="1DA1FB9D">
          <wp:extent cx="1409700" cy="712596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0155" cy="7229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6471D2" w14:textId="77777777" w:rsidR="008A7307" w:rsidRDefault="008A73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7E372D"/>
    <w:multiLevelType w:val="hybridMultilevel"/>
    <w:tmpl w:val="E2ECF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3701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E4C"/>
    <w:rsid w:val="004B0E4C"/>
    <w:rsid w:val="004F155C"/>
    <w:rsid w:val="00A60D73"/>
    <w:rsid w:val="00D933CC"/>
    <w:rsid w:val="00DF4E16"/>
    <w:rsid w:val="00EA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63E78"/>
  <w15:chartTrackingRefBased/>
  <w15:docId w15:val="{C00A5E97-1CD3-45C1-9F28-C4AD4097B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0E4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0E4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0E4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0E4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0E4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0E4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0E4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0E4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0E4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0E4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0E4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0E4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0E4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B0E4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B0E4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B0E4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B0E4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B0E4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B0E4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B0E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0E4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B0E4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B0E4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B0E4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B0E4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B0E4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0E4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0E4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B0E4C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4B0E4C"/>
    <w:pPr>
      <w:tabs>
        <w:tab w:val="center" w:pos="4513"/>
        <w:tab w:val="right" w:pos="9026"/>
      </w:tabs>
      <w:spacing w:after="0" w:line="240" w:lineRule="auto"/>
    </w:pPr>
    <w:rPr>
      <w:kern w:val="0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4B0E4C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4B0E4C"/>
    <w:pPr>
      <w:tabs>
        <w:tab w:val="center" w:pos="4513"/>
        <w:tab w:val="right" w:pos="9026"/>
      </w:tabs>
      <w:spacing w:after="0" w:line="240" w:lineRule="auto"/>
    </w:pPr>
    <w:rPr>
      <w:kern w:val="0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sid w:val="004B0E4C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Murdoch (Legal and Governance)</dc:creator>
  <cp:keywords/>
  <dc:description/>
  <cp:lastModifiedBy>Sara Murdoch (Legal and Governance)</cp:lastModifiedBy>
  <cp:revision>1</cp:revision>
  <dcterms:created xsi:type="dcterms:W3CDTF">2024-06-06T10:25:00Z</dcterms:created>
  <dcterms:modified xsi:type="dcterms:W3CDTF">2024-06-06T11:23:00Z</dcterms:modified>
</cp:coreProperties>
</file>