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B89" w:rsidRPr="007135AE" w:rsidRDefault="00EC6C16" w:rsidP="007135AE">
      <w:pPr>
        <w:jc w:val="center"/>
        <w:rPr>
          <w:rFonts w:eastAsia="Times New Roman"/>
          <w:b/>
          <w:szCs w:val="20"/>
          <w:lang w:eastAsia="en-GB"/>
        </w:rPr>
      </w:pPr>
      <w:r>
        <w:rPr>
          <w:rFonts w:eastAsia="Times New Roman"/>
          <w:b/>
          <w:szCs w:val="20"/>
          <w:lang w:eastAsia="en-GB"/>
        </w:rPr>
        <w:t>HIGHLA</w:t>
      </w:r>
      <w:r w:rsidR="007135AE" w:rsidRPr="007135AE">
        <w:rPr>
          <w:rFonts w:eastAsia="Times New Roman"/>
          <w:b/>
          <w:szCs w:val="20"/>
          <w:lang w:eastAsia="en-GB"/>
        </w:rPr>
        <w:t>ND COUNCIL</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608"/>
      </w:tblGrid>
      <w:tr w:rsidR="00E01B89" w:rsidTr="00E01B89">
        <w:trPr>
          <w:cantSplit/>
          <w:jc w:val="right"/>
        </w:trPr>
        <w:tc>
          <w:tcPr>
            <w:tcW w:w="1134" w:type="dxa"/>
            <w:tcBorders>
              <w:top w:val="single" w:sz="4" w:space="0" w:color="auto"/>
              <w:left w:val="single" w:sz="4" w:space="0" w:color="auto"/>
              <w:bottom w:val="single" w:sz="4" w:space="0" w:color="auto"/>
              <w:right w:val="single" w:sz="4" w:space="0" w:color="auto"/>
            </w:tcBorders>
            <w:hideMark/>
          </w:tcPr>
          <w:p w:rsidR="00E01B89" w:rsidRDefault="00E01B89">
            <w:pPr>
              <w:rPr>
                <w:b/>
              </w:rPr>
            </w:pPr>
            <w:r>
              <w:rPr>
                <w:b/>
              </w:rPr>
              <w:t>Agenda Item</w:t>
            </w:r>
          </w:p>
        </w:tc>
        <w:tc>
          <w:tcPr>
            <w:tcW w:w="1608" w:type="dxa"/>
            <w:tcBorders>
              <w:top w:val="single" w:sz="4" w:space="0" w:color="auto"/>
              <w:left w:val="single" w:sz="4" w:space="0" w:color="auto"/>
              <w:bottom w:val="single" w:sz="4" w:space="0" w:color="auto"/>
              <w:right w:val="single" w:sz="4" w:space="0" w:color="auto"/>
            </w:tcBorders>
            <w:vAlign w:val="center"/>
            <w:hideMark/>
          </w:tcPr>
          <w:p w:rsidR="00E01B89" w:rsidRDefault="00E01B89">
            <w:pPr>
              <w:jc w:val="center"/>
              <w:rPr>
                <w:b/>
              </w:rPr>
            </w:pPr>
            <w:r>
              <w:rPr>
                <w:b/>
              </w:rPr>
              <w:t>7</w:t>
            </w:r>
            <w:r>
              <w:rPr>
                <w:b/>
              </w:rPr>
              <w:t>.</w:t>
            </w:r>
          </w:p>
        </w:tc>
      </w:tr>
      <w:tr w:rsidR="00E01B89" w:rsidTr="00E01B89">
        <w:trPr>
          <w:cantSplit/>
          <w:trHeight w:val="432"/>
          <w:jc w:val="right"/>
        </w:trPr>
        <w:tc>
          <w:tcPr>
            <w:tcW w:w="1134" w:type="dxa"/>
            <w:tcBorders>
              <w:top w:val="single" w:sz="4" w:space="0" w:color="auto"/>
              <w:left w:val="single" w:sz="4" w:space="0" w:color="auto"/>
              <w:bottom w:val="single" w:sz="4" w:space="0" w:color="auto"/>
              <w:right w:val="single" w:sz="4" w:space="0" w:color="auto"/>
            </w:tcBorders>
            <w:hideMark/>
          </w:tcPr>
          <w:p w:rsidR="00E01B89" w:rsidRDefault="00E01B89">
            <w:pPr>
              <w:rPr>
                <w:b/>
              </w:rPr>
            </w:pPr>
            <w:r>
              <w:rPr>
                <w:b/>
              </w:rPr>
              <w:t>Report No</w:t>
            </w:r>
          </w:p>
        </w:tc>
        <w:tc>
          <w:tcPr>
            <w:tcW w:w="1608" w:type="dxa"/>
            <w:tcBorders>
              <w:top w:val="single" w:sz="4" w:space="0" w:color="auto"/>
              <w:left w:val="single" w:sz="4" w:space="0" w:color="auto"/>
              <w:bottom w:val="single" w:sz="4" w:space="0" w:color="auto"/>
              <w:right w:val="single" w:sz="4" w:space="0" w:color="auto"/>
            </w:tcBorders>
            <w:vAlign w:val="center"/>
            <w:hideMark/>
          </w:tcPr>
          <w:p w:rsidR="00E01B89" w:rsidRDefault="00E01B89">
            <w:pPr>
              <w:jc w:val="center"/>
              <w:rPr>
                <w:b/>
              </w:rPr>
            </w:pPr>
            <w:r>
              <w:rPr>
                <w:b/>
              </w:rPr>
              <w:t>SCC/23</w:t>
            </w:r>
            <w:r>
              <w:rPr>
                <w:b/>
              </w:rPr>
              <w:t>/18</w:t>
            </w:r>
          </w:p>
        </w:tc>
      </w:tr>
    </w:tbl>
    <w:p w:rsidR="007135AE" w:rsidRPr="007135AE" w:rsidRDefault="007135AE" w:rsidP="007135AE">
      <w:pPr>
        <w:jc w:val="center"/>
        <w:rPr>
          <w:rFonts w:eastAsia="Times New Roman"/>
          <w:b/>
          <w:szCs w:val="20"/>
          <w:lang w:eastAsia="en-GB"/>
        </w:rPr>
      </w:pPr>
    </w:p>
    <w:p w:rsidR="007135AE" w:rsidRPr="007135AE" w:rsidRDefault="007135AE" w:rsidP="007135AE">
      <w:pPr>
        <w:rPr>
          <w:rFonts w:ascii="Times New Roman" w:eastAsia="Times New Roman" w:hAnsi="Times New Roman" w:cs="Times New Roman"/>
          <w:szCs w:val="20"/>
          <w:lang w:eastAsia="en-GB"/>
        </w:rPr>
      </w:pPr>
    </w:p>
    <w:p w:rsidR="007135AE" w:rsidRPr="007135AE" w:rsidRDefault="007135AE" w:rsidP="007135AE">
      <w:pPr>
        <w:rPr>
          <w:rFonts w:ascii="Times New Roman" w:eastAsia="Times New Roman" w:hAnsi="Times New Roman" w:cs="Times New Roman"/>
          <w:szCs w:val="20"/>
          <w:lang w:eastAsia="en-GB"/>
        </w:rPr>
      </w:pPr>
    </w:p>
    <w:tbl>
      <w:tblPr>
        <w:tblW w:w="10207" w:type="dxa"/>
        <w:tblInd w:w="-601" w:type="dxa"/>
        <w:tblLayout w:type="fixed"/>
        <w:tblLook w:val="0000" w:firstRow="0" w:lastRow="0" w:firstColumn="0" w:lastColumn="0" w:noHBand="0" w:noVBand="0"/>
      </w:tblPr>
      <w:tblGrid>
        <w:gridCol w:w="2977"/>
        <w:gridCol w:w="7230"/>
      </w:tblGrid>
      <w:tr w:rsidR="007135AE" w:rsidRPr="007135AE" w:rsidTr="00ED167C">
        <w:trPr>
          <w:cantSplit/>
          <w:trHeight w:val="907"/>
        </w:trPr>
        <w:tc>
          <w:tcPr>
            <w:tcW w:w="2977" w:type="dxa"/>
            <w:vAlign w:val="center"/>
          </w:tcPr>
          <w:p w:rsidR="007135AE" w:rsidRPr="007135AE" w:rsidRDefault="00735A47" w:rsidP="00735A47">
            <w:pPr>
              <w:rPr>
                <w:rFonts w:eastAsia="Times New Roman"/>
                <w:b/>
                <w:lang w:eastAsia="en-GB"/>
              </w:rPr>
            </w:pPr>
            <w:r>
              <w:rPr>
                <w:rFonts w:eastAsia="Times New Roman"/>
                <w:b/>
                <w:lang w:eastAsia="en-GB"/>
              </w:rPr>
              <w:t>Committee:</w:t>
            </w:r>
          </w:p>
        </w:tc>
        <w:tc>
          <w:tcPr>
            <w:tcW w:w="7230" w:type="dxa"/>
            <w:vAlign w:val="center"/>
          </w:tcPr>
          <w:p w:rsidR="007135AE" w:rsidRPr="007135AE" w:rsidRDefault="003E5B1C" w:rsidP="00735A47">
            <w:pPr>
              <w:rPr>
                <w:rFonts w:eastAsia="Times New Roman"/>
                <w:lang w:eastAsia="en-GB"/>
              </w:rPr>
            </w:pPr>
            <w:r>
              <w:rPr>
                <w:rFonts w:eastAsia="Times New Roman"/>
                <w:b/>
                <w:lang w:eastAsia="en-GB"/>
              </w:rPr>
              <w:t xml:space="preserve">Sutherland </w:t>
            </w:r>
            <w:r w:rsidR="00756DCB">
              <w:rPr>
                <w:rFonts w:eastAsia="Times New Roman"/>
                <w:b/>
                <w:lang w:eastAsia="en-GB"/>
              </w:rPr>
              <w:t>County</w:t>
            </w:r>
            <w:r w:rsidR="00554A57">
              <w:rPr>
                <w:rFonts w:eastAsia="Times New Roman"/>
                <w:b/>
                <w:lang w:eastAsia="en-GB"/>
              </w:rPr>
              <w:t xml:space="preserve"> Committee</w:t>
            </w:r>
            <w:r w:rsidR="00EC0B9C">
              <w:rPr>
                <w:rFonts w:eastAsia="Times New Roman"/>
                <w:b/>
                <w:lang w:eastAsia="en-GB"/>
              </w:rPr>
              <w:t xml:space="preserve"> </w:t>
            </w:r>
            <w:r w:rsidR="007135AE" w:rsidRPr="007135AE">
              <w:rPr>
                <w:rFonts w:eastAsia="Times New Roman"/>
                <w:lang w:eastAsia="en-GB"/>
              </w:rPr>
              <w:fldChar w:fldCharType="begin"/>
            </w:r>
            <w:r w:rsidR="007135AE" w:rsidRPr="007135AE">
              <w:rPr>
                <w:rFonts w:eastAsia="Times New Roman"/>
                <w:lang w:eastAsia="en-GB"/>
              </w:rPr>
              <w:instrText xml:space="preserve">  </w:instrText>
            </w:r>
            <w:r w:rsidR="007135AE" w:rsidRPr="007135AE">
              <w:rPr>
                <w:rFonts w:eastAsia="Times New Roman"/>
                <w:lang w:eastAsia="en-GB"/>
              </w:rPr>
              <w:fldChar w:fldCharType="end"/>
            </w:r>
          </w:p>
        </w:tc>
      </w:tr>
      <w:tr w:rsidR="007135AE" w:rsidRPr="007135AE" w:rsidTr="00ED167C">
        <w:trPr>
          <w:cantSplit/>
          <w:trHeight w:val="907"/>
        </w:trPr>
        <w:tc>
          <w:tcPr>
            <w:tcW w:w="2977" w:type="dxa"/>
            <w:vAlign w:val="center"/>
          </w:tcPr>
          <w:p w:rsidR="007135AE" w:rsidRPr="007135AE" w:rsidRDefault="007135AE" w:rsidP="00735A47">
            <w:pPr>
              <w:rPr>
                <w:rFonts w:eastAsia="Times New Roman"/>
                <w:b/>
                <w:lang w:eastAsia="en-GB"/>
              </w:rPr>
            </w:pPr>
            <w:r w:rsidRPr="007135AE">
              <w:rPr>
                <w:rFonts w:eastAsia="Times New Roman"/>
                <w:b/>
                <w:lang w:eastAsia="en-GB"/>
              </w:rPr>
              <w:t>Date:</w:t>
            </w:r>
          </w:p>
        </w:tc>
        <w:tc>
          <w:tcPr>
            <w:tcW w:w="7230" w:type="dxa"/>
            <w:vAlign w:val="center"/>
          </w:tcPr>
          <w:p w:rsidR="007135AE" w:rsidRPr="007E7E2D" w:rsidRDefault="00955051" w:rsidP="00CD2CEC">
            <w:pPr>
              <w:rPr>
                <w:rFonts w:eastAsia="Times New Roman"/>
                <w:b/>
                <w:lang w:eastAsia="en-GB"/>
              </w:rPr>
            </w:pPr>
            <w:r>
              <w:rPr>
                <w:rFonts w:eastAsia="Times New Roman"/>
                <w:b/>
                <w:lang w:eastAsia="en-GB"/>
              </w:rPr>
              <w:t>15</w:t>
            </w:r>
            <w:r w:rsidR="004F68C5">
              <w:rPr>
                <w:rFonts w:eastAsia="Times New Roman"/>
                <w:b/>
                <w:lang w:eastAsia="en-GB"/>
              </w:rPr>
              <w:t xml:space="preserve"> November</w:t>
            </w:r>
            <w:r w:rsidR="00EC0B9C">
              <w:rPr>
                <w:rFonts w:eastAsia="Times New Roman"/>
                <w:b/>
                <w:lang w:eastAsia="en-GB"/>
              </w:rPr>
              <w:t xml:space="preserve"> 2018</w:t>
            </w:r>
          </w:p>
        </w:tc>
      </w:tr>
      <w:tr w:rsidR="007135AE" w:rsidRPr="007135AE" w:rsidTr="00ED167C">
        <w:trPr>
          <w:cantSplit/>
          <w:trHeight w:val="907"/>
        </w:trPr>
        <w:tc>
          <w:tcPr>
            <w:tcW w:w="2977" w:type="dxa"/>
            <w:vAlign w:val="center"/>
          </w:tcPr>
          <w:p w:rsidR="007135AE" w:rsidRPr="007135AE" w:rsidRDefault="007135AE" w:rsidP="00735A47">
            <w:pPr>
              <w:rPr>
                <w:rFonts w:eastAsia="Times New Roman"/>
                <w:b/>
                <w:lang w:eastAsia="en-GB"/>
              </w:rPr>
            </w:pPr>
            <w:r w:rsidRPr="007135AE">
              <w:rPr>
                <w:rFonts w:eastAsia="Times New Roman"/>
                <w:b/>
                <w:lang w:eastAsia="en-GB"/>
              </w:rPr>
              <w:t>Report Title:</w:t>
            </w:r>
            <w:r w:rsidRPr="007135AE">
              <w:rPr>
                <w:rFonts w:eastAsia="Times New Roman"/>
                <w:b/>
                <w:lang w:eastAsia="en-GB"/>
              </w:rPr>
              <w:fldChar w:fldCharType="begin"/>
            </w:r>
            <w:r w:rsidRPr="007135AE">
              <w:rPr>
                <w:rFonts w:eastAsia="Times New Roman"/>
                <w:b/>
                <w:lang w:eastAsia="en-GB"/>
              </w:rPr>
              <w:instrText xml:space="preserve">  </w:instrText>
            </w:r>
            <w:r w:rsidRPr="007135AE">
              <w:rPr>
                <w:rFonts w:eastAsia="Times New Roman"/>
                <w:b/>
                <w:lang w:eastAsia="en-GB"/>
              </w:rPr>
              <w:fldChar w:fldCharType="end"/>
            </w:r>
          </w:p>
        </w:tc>
        <w:tc>
          <w:tcPr>
            <w:tcW w:w="7230" w:type="dxa"/>
            <w:vAlign w:val="center"/>
          </w:tcPr>
          <w:p w:rsidR="007135AE" w:rsidRPr="007135AE" w:rsidRDefault="007E7E2D" w:rsidP="00F75CE7">
            <w:pPr>
              <w:rPr>
                <w:rFonts w:eastAsia="Times New Roman"/>
                <w:b/>
                <w:lang w:eastAsia="en-GB"/>
              </w:rPr>
            </w:pPr>
            <w:r>
              <w:rPr>
                <w:rFonts w:eastAsia="Times New Roman"/>
                <w:b/>
                <w:lang w:eastAsia="en-GB"/>
              </w:rPr>
              <w:t xml:space="preserve">Housing Revenue Account Capital </w:t>
            </w:r>
            <w:r w:rsidR="00F75CE7">
              <w:rPr>
                <w:rFonts w:eastAsia="Times New Roman"/>
                <w:b/>
                <w:lang w:eastAsia="en-GB"/>
              </w:rPr>
              <w:t>Programme</w:t>
            </w:r>
            <w:r w:rsidR="003055A5">
              <w:rPr>
                <w:rFonts w:eastAsia="Times New Roman"/>
                <w:b/>
                <w:lang w:eastAsia="en-GB"/>
              </w:rPr>
              <w:t xml:space="preserve"> </w:t>
            </w:r>
            <w:r w:rsidR="00EC0B9C">
              <w:rPr>
                <w:rFonts w:eastAsia="Times New Roman"/>
                <w:b/>
                <w:lang w:eastAsia="en-GB"/>
              </w:rPr>
              <w:t>2019-2021</w:t>
            </w:r>
          </w:p>
        </w:tc>
      </w:tr>
      <w:tr w:rsidR="007135AE" w:rsidRPr="007135AE" w:rsidTr="00ED167C">
        <w:trPr>
          <w:cantSplit/>
          <w:trHeight w:val="907"/>
        </w:trPr>
        <w:tc>
          <w:tcPr>
            <w:tcW w:w="2977" w:type="dxa"/>
            <w:vAlign w:val="center"/>
          </w:tcPr>
          <w:p w:rsidR="007135AE" w:rsidRPr="007135AE" w:rsidRDefault="007135AE" w:rsidP="00735A47">
            <w:pPr>
              <w:rPr>
                <w:rFonts w:eastAsia="Times New Roman"/>
                <w:b/>
                <w:lang w:eastAsia="en-GB"/>
              </w:rPr>
            </w:pPr>
            <w:r w:rsidRPr="007135AE">
              <w:rPr>
                <w:rFonts w:eastAsia="Times New Roman"/>
                <w:b/>
                <w:lang w:eastAsia="en-GB"/>
              </w:rPr>
              <w:t>Report By:</w:t>
            </w:r>
          </w:p>
        </w:tc>
        <w:tc>
          <w:tcPr>
            <w:tcW w:w="7230" w:type="dxa"/>
            <w:vAlign w:val="center"/>
          </w:tcPr>
          <w:p w:rsidR="007135AE" w:rsidRPr="007E7E2D" w:rsidRDefault="00810502" w:rsidP="00735A47">
            <w:pPr>
              <w:keepNext/>
              <w:outlineLvl w:val="2"/>
              <w:rPr>
                <w:rFonts w:eastAsia="Times New Roman"/>
                <w:b/>
                <w:lang w:eastAsia="en-GB"/>
              </w:rPr>
            </w:pPr>
            <w:r>
              <w:rPr>
                <w:rFonts w:eastAsia="Times New Roman"/>
                <w:b/>
                <w:lang w:eastAsia="en-GB"/>
              </w:rPr>
              <w:t>Director of Community Services</w:t>
            </w:r>
          </w:p>
        </w:tc>
      </w:tr>
    </w:tbl>
    <w:p w:rsidR="007135AE" w:rsidRDefault="007135AE" w:rsidP="007135AE">
      <w:pPr>
        <w:rPr>
          <w:rFonts w:ascii="Times New Roman" w:eastAsia="Times New Roman" w:hAnsi="Times New Roman" w:cs="Times New Roman"/>
          <w:szCs w:val="20"/>
          <w:lang w:eastAsia="en-GB"/>
        </w:rPr>
      </w:pPr>
    </w:p>
    <w:p w:rsidR="00B65DAB" w:rsidRDefault="00B65DAB" w:rsidP="007135AE">
      <w:pPr>
        <w:rPr>
          <w:rFonts w:ascii="Times New Roman" w:eastAsia="Times New Roman" w:hAnsi="Times New Roman" w:cs="Times New Roman"/>
          <w:szCs w:val="20"/>
          <w:lang w:eastAsia="en-GB"/>
        </w:rPr>
      </w:pPr>
    </w:p>
    <w:p w:rsidR="00B65DAB" w:rsidRPr="007135AE" w:rsidRDefault="00B65DAB" w:rsidP="007135AE">
      <w:pPr>
        <w:rPr>
          <w:rFonts w:ascii="Times New Roman" w:eastAsia="Times New Roman" w:hAnsi="Times New Roman" w:cs="Times New Roman"/>
          <w:szCs w:val="20"/>
          <w:lang w:eastAsia="en-GB"/>
        </w:rPr>
      </w:pPr>
    </w:p>
    <w:tbl>
      <w:tblPr>
        <w:tblW w:w="10207" w:type="dxa"/>
        <w:tblInd w:w="-601" w:type="dxa"/>
        <w:tblLayout w:type="fixed"/>
        <w:tblLook w:val="0000" w:firstRow="0" w:lastRow="0" w:firstColumn="0" w:lastColumn="0" w:noHBand="0" w:noVBand="0"/>
      </w:tblPr>
      <w:tblGrid>
        <w:gridCol w:w="709"/>
        <w:gridCol w:w="9498"/>
      </w:tblGrid>
      <w:tr w:rsidR="007135AE" w:rsidRPr="007135AE" w:rsidTr="00735A47">
        <w:tc>
          <w:tcPr>
            <w:tcW w:w="709" w:type="dxa"/>
          </w:tcPr>
          <w:p w:rsidR="00EC6C16" w:rsidRDefault="00EC6C16" w:rsidP="007135AE">
            <w:pPr>
              <w:rPr>
                <w:rFonts w:eastAsia="Times New Roman"/>
                <w:b/>
                <w:lang w:eastAsia="en-GB"/>
              </w:rPr>
            </w:pPr>
          </w:p>
          <w:p w:rsidR="007135AE" w:rsidRPr="007135AE" w:rsidRDefault="00756DCB" w:rsidP="007135AE">
            <w:pPr>
              <w:rPr>
                <w:rFonts w:eastAsia="Times New Roman"/>
                <w:b/>
                <w:lang w:eastAsia="en-GB"/>
              </w:rPr>
            </w:pPr>
            <w:r>
              <w:rPr>
                <w:rFonts w:eastAsia="Times New Roman"/>
                <w:b/>
                <w:lang w:eastAsia="en-GB"/>
              </w:rPr>
              <w:t>1</w:t>
            </w:r>
          </w:p>
        </w:tc>
        <w:tc>
          <w:tcPr>
            <w:tcW w:w="9498" w:type="dxa"/>
          </w:tcPr>
          <w:p w:rsidR="00EC6C16" w:rsidRDefault="00EC6C16" w:rsidP="007135AE">
            <w:pPr>
              <w:keepNext/>
              <w:outlineLvl w:val="1"/>
              <w:rPr>
                <w:rFonts w:eastAsia="Times New Roman"/>
                <w:b/>
                <w:lang w:eastAsia="en-GB"/>
              </w:rPr>
            </w:pPr>
          </w:p>
          <w:p w:rsidR="007135AE" w:rsidRDefault="00AC6AC6" w:rsidP="00B65DAB">
            <w:pPr>
              <w:keepNext/>
              <w:jc w:val="center"/>
              <w:outlineLvl w:val="1"/>
              <w:rPr>
                <w:rFonts w:eastAsia="Times New Roman"/>
                <w:b/>
                <w:lang w:eastAsia="en-GB"/>
              </w:rPr>
            </w:pPr>
            <w:r>
              <w:rPr>
                <w:rFonts w:eastAsia="Times New Roman"/>
                <w:b/>
                <w:lang w:eastAsia="en-GB"/>
              </w:rPr>
              <w:t>Purpose/</w:t>
            </w:r>
            <w:r w:rsidR="007135AE" w:rsidRPr="007135AE">
              <w:rPr>
                <w:rFonts w:eastAsia="Times New Roman"/>
                <w:b/>
                <w:lang w:eastAsia="en-GB"/>
              </w:rPr>
              <w:t>Executive Summary</w:t>
            </w:r>
          </w:p>
          <w:p w:rsidR="007135AE" w:rsidRPr="007135AE" w:rsidRDefault="007135AE" w:rsidP="007135AE">
            <w:pPr>
              <w:rPr>
                <w:rFonts w:eastAsia="Times New Roman"/>
                <w:b/>
                <w:lang w:eastAsia="en-GB"/>
              </w:rPr>
            </w:pPr>
          </w:p>
        </w:tc>
      </w:tr>
      <w:tr w:rsidR="007135AE" w:rsidRPr="007135AE" w:rsidTr="00735A47">
        <w:tc>
          <w:tcPr>
            <w:tcW w:w="709" w:type="dxa"/>
          </w:tcPr>
          <w:p w:rsidR="007135AE" w:rsidRDefault="007135AE" w:rsidP="007135AE">
            <w:pPr>
              <w:rPr>
                <w:rFonts w:eastAsia="Times New Roman"/>
                <w:b/>
                <w:lang w:eastAsia="en-GB"/>
              </w:rPr>
            </w:pPr>
          </w:p>
          <w:p w:rsidR="003B700B" w:rsidRPr="003B700B" w:rsidRDefault="003B700B" w:rsidP="007135AE">
            <w:pPr>
              <w:rPr>
                <w:rFonts w:eastAsia="Times New Roman"/>
                <w:lang w:eastAsia="en-GB"/>
              </w:rPr>
            </w:pPr>
            <w:r w:rsidRPr="003B700B">
              <w:rPr>
                <w:rFonts w:eastAsia="Times New Roman"/>
                <w:lang w:eastAsia="en-GB"/>
              </w:rPr>
              <w:t>1.1</w:t>
            </w:r>
          </w:p>
          <w:p w:rsidR="003B700B" w:rsidRPr="003B700B" w:rsidRDefault="003B700B" w:rsidP="007135AE">
            <w:pPr>
              <w:rPr>
                <w:rFonts w:eastAsia="Times New Roman"/>
                <w:lang w:eastAsia="en-GB"/>
              </w:rPr>
            </w:pPr>
          </w:p>
          <w:p w:rsidR="003B700B" w:rsidRPr="003B700B" w:rsidRDefault="003B700B" w:rsidP="007135AE">
            <w:pPr>
              <w:rPr>
                <w:rFonts w:eastAsia="Times New Roman"/>
                <w:lang w:eastAsia="en-GB"/>
              </w:rPr>
            </w:pPr>
          </w:p>
          <w:p w:rsidR="003B700B" w:rsidRPr="007135AE" w:rsidRDefault="003B700B" w:rsidP="007135AE">
            <w:pPr>
              <w:rPr>
                <w:rFonts w:eastAsia="Times New Roman"/>
                <w:b/>
                <w:lang w:eastAsia="en-GB"/>
              </w:rPr>
            </w:pPr>
          </w:p>
        </w:tc>
        <w:tc>
          <w:tcPr>
            <w:tcW w:w="9498" w:type="dxa"/>
          </w:tcPr>
          <w:p w:rsidR="007C3BA9" w:rsidRDefault="007C3BA9" w:rsidP="007135AE">
            <w:pPr>
              <w:contextualSpacing/>
              <w:jc w:val="both"/>
              <w:rPr>
                <w:rFonts w:eastAsia="Times New Roman"/>
                <w:lang w:eastAsia="en-GB"/>
              </w:rPr>
            </w:pPr>
          </w:p>
          <w:p w:rsidR="007135AE" w:rsidRPr="007135AE" w:rsidRDefault="008A70C1" w:rsidP="003E5B1C">
            <w:pPr>
              <w:contextualSpacing/>
              <w:jc w:val="both"/>
              <w:rPr>
                <w:rFonts w:eastAsia="Times New Roman"/>
                <w:lang w:eastAsia="en-GB"/>
              </w:rPr>
            </w:pPr>
            <w:r>
              <w:rPr>
                <w:rFonts w:eastAsia="Times New Roman"/>
                <w:lang w:eastAsia="en-GB"/>
              </w:rPr>
              <w:t xml:space="preserve">This report contains </w:t>
            </w:r>
            <w:r w:rsidR="00EC0B9C">
              <w:rPr>
                <w:rFonts w:eastAsia="Times New Roman"/>
                <w:lang w:eastAsia="en-GB"/>
              </w:rPr>
              <w:t xml:space="preserve">details of the </w:t>
            </w:r>
            <w:r>
              <w:rPr>
                <w:rFonts w:eastAsia="Times New Roman"/>
                <w:lang w:eastAsia="en-GB"/>
              </w:rPr>
              <w:t>level of</w:t>
            </w:r>
            <w:r w:rsidR="0015034F">
              <w:rPr>
                <w:rFonts w:eastAsia="Times New Roman"/>
                <w:lang w:eastAsia="en-GB"/>
              </w:rPr>
              <w:t xml:space="preserve"> HRA capital resources</w:t>
            </w:r>
            <w:r w:rsidR="00EC0B9C">
              <w:rPr>
                <w:rFonts w:eastAsia="Times New Roman"/>
                <w:lang w:eastAsia="en-GB"/>
              </w:rPr>
              <w:t xml:space="preserve"> for </w:t>
            </w:r>
            <w:r w:rsidR="003E5B1C">
              <w:rPr>
                <w:rFonts w:eastAsia="Times New Roman"/>
                <w:lang w:eastAsia="en-GB"/>
              </w:rPr>
              <w:t xml:space="preserve">Sutherland </w:t>
            </w:r>
            <w:r w:rsidR="00F75CE7">
              <w:rPr>
                <w:rFonts w:eastAsia="Times New Roman"/>
                <w:lang w:eastAsia="en-GB"/>
              </w:rPr>
              <w:t xml:space="preserve">for </w:t>
            </w:r>
            <w:r w:rsidR="00EC0B9C">
              <w:rPr>
                <w:rFonts w:eastAsia="Times New Roman"/>
                <w:lang w:eastAsia="en-GB"/>
              </w:rPr>
              <w:t xml:space="preserve">the 2019-2021 </w:t>
            </w:r>
            <w:r w:rsidR="00F75CE7">
              <w:rPr>
                <w:rFonts w:eastAsia="Times New Roman"/>
                <w:lang w:eastAsia="en-GB"/>
              </w:rPr>
              <w:t xml:space="preserve">mainstream </w:t>
            </w:r>
            <w:r>
              <w:rPr>
                <w:rFonts w:eastAsia="Times New Roman"/>
                <w:lang w:eastAsia="en-GB"/>
              </w:rPr>
              <w:t>capital programme based on the 5-year capital plan</w:t>
            </w:r>
            <w:r w:rsidR="00F75CE7">
              <w:rPr>
                <w:rFonts w:eastAsia="Times New Roman"/>
                <w:lang w:eastAsia="en-GB"/>
              </w:rPr>
              <w:t>,</w:t>
            </w:r>
            <w:r w:rsidR="00EC0B9C">
              <w:rPr>
                <w:rFonts w:eastAsia="Times New Roman"/>
                <w:lang w:eastAsia="en-GB"/>
              </w:rPr>
              <w:t xml:space="preserve"> and the proposed programme of works in 2019/20 and 2020/21.   </w:t>
            </w:r>
          </w:p>
        </w:tc>
      </w:tr>
      <w:tr w:rsidR="007135AE" w:rsidRPr="007135AE" w:rsidTr="00735A47">
        <w:tc>
          <w:tcPr>
            <w:tcW w:w="709" w:type="dxa"/>
          </w:tcPr>
          <w:p w:rsidR="00756DCB" w:rsidRDefault="00756DCB" w:rsidP="001E737E">
            <w:pPr>
              <w:rPr>
                <w:rFonts w:eastAsia="Times New Roman"/>
                <w:b/>
                <w:lang w:eastAsia="en-GB"/>
              </w:rPr>
            </w:pPr>
          </w:p>
          <w:p w:rsidR="003B700B" w:rsidRPr="007135AE" w:rsidRDefault="003B700B" w:rsidP="00756DCB">
            <w:pPr>
              <w:rPr>
                <w:rFonts w:eastAsia="Times New Roman"/>
                <w:b/>
                <w:lang w:eastAsia="en-GB"/>
              </w:rPr>
            </w:pPr>
            <w:r>
              <w:rPr>
                <w:rFonts w:eastAsia="Times New Roman"/>
                <w:b/>
                <w:lang w:eastAsia="en-GB"/>
              </w:rPr>
              <w:t>2</w:t>
            </w:r>
          </w:p>
        </w:tc>
        <w:tc>
          <w:tcPr>
            <w:tcW w:w="9498" w:type="dxa"/>
          </w:tcPr>
          <w:p w:rsidR="00756DCB" w:rsidRDefault="00756DCB" w:rsidP="007E7E2D">
            <w:pPr>
              <w:jc w:val="center"/>
              <w:rPr>
                <w:rFonts w:eastAsia="Times New Roman"/>
                <w:b/>
                <w:szCs w:val="20"/>
                <w:lang w:eastAsia="en-GB"/>
              </w:rPr>
            </w:pPr>
          </w:p>
          <w:p w:rsidR="007135AE" w:rsidRDefault="007135AE" w:rsidP="007E7E2D">
            <w:pPr>
              <w:jc w:val="center"/>
              <w:rPr>
                <w:rFonts w:eastAsia="Times New Roman"/>
                <w:b/>
                <w:szCs w:val="20"/>
                <w:lang w:eastAsia="en-GB"/>
              </w:rPr>
            </w:pPr>
            <w:r w:rsidRPr="007135AE">
              <w:rPr>
                <w:rFonts w:eastAsia="Times New Roman"/>
                <w:b/>
                <w:szCs w:val="20"/>
                <w:lang w:eastAsia="en-GB"/>
              </w:rPr>
              <w:t>Recommendations</w:t>
            </w:r>
          </w:p>
          <w:p w:rsidR="007C3BA9" w:rsidRPr="007135AE" w:rsidRDefault="007C3BA9" w:rsidP="00B65DAB">
            <w:pPr>
              <w:jc w:val="center"/>
              <w:rPr>
                <w:rFonts w:eastAsia="Times New Roman"/>
                <w:b/>
                <w:szCs w:val="20"/>
                <w:lang w:eastAsia="en-GB"/>
              </w:rPr>
            </w:pPr>
          </w:p>
        </w:tc>
      </w:tr>
      <w:tr w:rsidR="007135AE" w:rsidRPr="007135AE" w:rsidTr="009A0173">
        <w:trPr>
          <w:trHeight w:val="427"/>
        </w:trPr>
        <w:tc>
          <w:tcPr>
            <w:tcW w:w="709" w:type="dxa"/>
          </w:tcPr>
          <w:p w:rsidR="005477EA" w:rsidRDefault="005477EA" w:rsidP="001E737E">
            <w:pPr>
              <w:rPr>
                <w:rFonts w:eastAsia="Times New Roman"/>
                <w:lang w:eastAsia="en-GB"/>
              </w:rPr>
            </w:pPr>
          </w:p>
          <w:p w:rsidR="00DC6B3B" w:rsidRDefault="00735A47" w:rsidP="001E737E">
            <w:pPr>
              <w:rPr>
                <w:rFonts w:eastAsia="Times New Roman"/>
                <w:b/>
                <w:lang w:eastAsia="en-GB"/>
              </w:rPr>
            </w:pPr>
            <w:r>
              <w:rPr>
                <w:rFonts w:eastAsia="Times New Roman"/>
                <w:lang w:eastAsia="en-GB"/>
              </w:rPr>
              <w:t>2.1</w:t>
            </w:r>
          </w:p>
          <w:p w:rsidR="00DC6B3B" w:rsidRPr="00DC6B3B" w:rsidRDefault="00DC6B3B" w:rsidP="00DC6B3B">
            <w:pPr>
              <w:rPr>
                <w:rFonts w:eastAsia="Times New Roman"/>
                <w:lang w:eastAsia="en-GB"/>
              </w:rPr>
            </w:pPr>
          </w:p>
          <w:p w:rsidR="003B700B" w:rsidRPr="00DC6B3B" w:rsidRDefault="003B700B" w:rsidP="00DC6B3B">
            <w:pPr>
              <w:rPr>
                <w:rFonts w:eastAsia="Times New Roman"/>
                <w:lang w:eastAsia="en-GB"/>
              </w:rPr>
            </w:pPr>
          </w:p>
        </w:tc>
        <w:tc>
          <w:tcPr>
            <w:tcW w:w="9498" w:type="dxa"/>
          </w:tcPr>
          <w:p w:rsidR="005477EA" w:rsidRDefault="005477EA" w:rsidP="00801FBF">
            <w:pPr>
              <w:contextualSpacing/>
              <w:rPr>
                <w:rFonts w:eastAsia="Times New Roman"/>
                <w:lang w:eastAsia="en-GB"/>
              </w:rPr>
            </w:pPr>
          </w:p>
          <w:p w:rsidR="00801FBF" w:rsidRDefault="00801FBF" w:rsidP="00801FBF">
            <w:pPr>
              <w:contextualSpacing/>
              <w:rPr>
                <w:rFonts w:eastAsia="Times New Roman"/>
                <w:lang w:eastAsia="en-GB"/>
              </w:rPr>
            </w:pPr>
            <w:r>
              <w:rPr>
                <w:rFonts w:eastAsia="Times New Roman"/>
                <w:lang w:eastAsia="en-GB"/>
              </w:rPr>
              <w:t>Members are invited to:</w:t>
            </w:r>
            <w:r w:rsidR="00756DCB">
              <w:rPr>
                <w:rFonts w:eastAsia="Times New Roman"/>
                <w:lang w:eastAsia="en-GB"/>
              </w:rPr>
              <w:t>-</w:t>
            </w:r>
          </w:p>
          <w:p w:rsidR="00801FBF" w:rsidRDefault="00801FBF" w:rsidP="00801FBF">
            <w:pPr>
              <w:rPr>
                <w:rFonts w:eastAsia="Times New Roman"/>
                <w:lang w:eastAsia="en-GB"/>
              </w:rPr>
            </w:pPr>
          </w:p>
          <w:p w:rsidR="008A70C1" w:rsidRPr="00F75CE7" w:rsidRDefault="00EC0B9C" w:rsidP="00F75CE7">
            <w:pPr>
              <w:pStyle w:val="ListParagraph"/>
              <w:numPr>
                <w:ilvl w:val="0"/>
                <w:numId w:val="14"/>
              </w:numPr>
              <w:rPr>
                <w:rFonts w:eastAsia="Times New Roman"/>
                <w:lang w:eastAsia="en-GB"/>
              </w:rPr>
            </w:pPr>
            <w:r>
              <w:rPr>
                <w:rFonts w:eastAsia="Times New Roman"/>
                <w:b/>
                <w:lang w:eastAsia="en-GB"/>
              </w:rPr>
              <w:t>Note</w:t>
            </w:r>
            <w:r w:rsidR="00A81B85">
              <w:rPr>
                <w:rFonts w:eastAsia="Times New Roman"/>
                <w:lang w:eastAsia="en-GB"/>
              </w:rPr>
              <w:t xml:space="preserve"> the allocation of resources to </w:t>
            </w:r>
            <w:r w:rsidR="003E5B1C">
              <w:rPr>
                <w:rFonts w:eastAsia="Times New Roman"/>
                <w:lang w:eastAsia="en-GB"/>
              </w:rPr>
              <w:t>Sutherland</w:t>
            </w:r>
            <w:r w:rsidR="00A81B85">
              <w:rPr>
                <w:rFonts w:eastAsia="Times New Roman"/>
                <w:lang w:eastAsia="en-GB"/>
              </w:rPr>
              <w:t xml:space="preserve"> A</w:t>
            </w:r>
            <w:r w:rsidR="00125695" w:rsidRPr="00F75CE7">
              <w:rPr>
                <w:rFonts w:eastAsia="Times New Roman"/>
                <w:lang w:eastAsia="en-GB"/>
              </w:rPr>
              <w:t>rea</w:t>
            </w:r>
            <w:r w:rsidR="00A81B85">
              <w:rPr>
                <w:rFonts w:eastAsia="Times New Roman"/>
                <w:lang w:eastAsia="en-GB"/>
              </w:rPr>
              <w:t xml:space="preserve"> </w:t>
            </w:r>
            <w:r w:rsidR="00125695" w:rsidRPr="00F75CE7">
              <w:rPr>
                <w:rFonts w:eastAsia="Times New Roman"/>
                <w:lang w:eastAsia="en-GB"/>
              </w:rPr>
              <w:t>as set out in</w:t>
            </w:r>
            <w:r w:rsidR="008A70C1" w:rsidRPr="00F75CE7">
              <w:rPr>
                <w:rFonts w:eastAsia="Times New Roman"/>
                <w:lang w:eastAsia="en-GB"/>
              </w:rPr>
              <w:t xml:space="preserve"> </w:t>
            </w:r>
            <w:r w:rsidR="008A70C1" w:rsidRPr="00F75CE7">
              <w:rPr>
                <w:rFonts w:eastAsia="Times New Roman"/>
                <w:b/>
                <w:lang w:eastAsia="en-GB"/>
              </w:rPr>
              <w:t>Appendix 1</w:t>
            </w:r>
            <w:r w:rsidR="00756DCB">
              <w:rPr>
                <w:rFonts w:eastAsia="Times New Roman"/>
                <w:lang w:eastAsia="en-GB"/>
              </w:rPr>
              <w:t>;</w:t>
            </w:r>
          </w:p>
          <w:p w:rsidR="00801FBF" w:rsidRDefault="00801FBF" w:rsidP="00F75CE7">
            <w:pPr>
              <w:ind w:firstLine="720"/>
              <w:rPr>
                <w:rFonts w:eastAsia="Times New Roman"/>
                <w:lang w:eastAsia="en-GB"/>
              </w:rPr>
            </w:pPr>
          </w:p>
          <w:p w:rsidR="00801FBF" w:rsidRPr="00F75CE7" w:rsidRDefault="00125695" w:rsidP="00F75CE7">
            <w:pPr>
              <w:pStyle w:val="ListParagraph"/>
              <w:numPr>
                <w:ilvl w:val="0"/>
                <w:numId w:val="14"/>
              </w:numPr>
              <w:rPr>
                <w:rFonts w:eastAsia="Times New Roman"/>
                <w:lang w:eastAsia="en-GB"/>
              </w:rPr>
            </w:pPr>
            <w:r w:rsidRPr="00F75CE7">
              <w:rPr>
                <w:rFonts w:eastAsia="Times New Roman"/>
                <w:b/>
                <w:lang w:eastAsia="en-GB"/>
              </w:rPr>
              <w:t>Note</w:t>
            </w:r>
            <w:r w:rsidR="00801FBF" w:rsidRPr="00F75CE7">
              <w:rPr>
                <w:rFonts w:eastAsia="Times New Roman"/>
                <w:lang w:eastAsia="en-GB"/>
              </w:rPr>
              <w:t xml:space="preserve"> the investment pr</w:t>
            </w:r>
            <w:r w:rsidR="0015034F" w:rsidRPr="00F75CE7">
              <w:rPr>
                <w:rFonts w:eastAsia="Times New Roman"/>
                <w:lang w:eastAsia="en-GB"/>
              </w:rPr>
              <w:t>iorities as set out in section 4</w:t>
            </w:r>
            <w:r w:rsidR="00801FBF" w:rsidRPr="00F75CE7">
              <w:rPr>
                <w:rFonts w:eastAsia="Times New Roman"/>
                <w:lang w:eastAsia="en-GB"/>
              </w:rPr>
              <w:t>.2 of the report</w:t>
            </w:r>
            <w:r w:rsidR="00756DCB">
              <w:rPr>
                <w:rFonts w:eastAsia="Times New Roman"/>
                <w:lang w:eastAsia="en-GB"/>
              </w:rPr>
              <w:t>;</w:t>
            </w:r>
          </w:p>
          <w:p w:rsidR="00801FBF" w:rsidRDefault="00801FBF" w:rsidP="00801FBF">
            <w:pPr>
              <w:rPr>
                <w:rFonts w:eastAsia="Times New Roman"/>
                <w:lang w:eastAsia="en-GB"/>
              </w:rPr>
            </w:pPr>
          </w:p>
          <w:p w:rsidR="00801FBF" w:rsidRPr="00F75CE7" w:rsidRDefault="00810502" w:rsidP="00F75CE7">
            <w:pPr>
              <w:pStyle w:val="ListParagraph"/>
              <w:numPr>
                <w:ilvl w:val="0"/>
                <w:numId w:val="14"/>
              </w:numPr>
              <w:rPr>
                <w:rFonts w:eastAsia="Times New Roman"/>
                <w:lang w:eastAsia="en-GB"/>
              </w:rPr>
            </w:pPr>
            <w:r w:rsidRPr="00F75CE7">
              <w:rPr>
                <w:rFonts w:eastAsia="Times New Roman"/>
                <w:b/>
                <w:lang w:eastAsia="en-GB"/>
              </w:rPr>
              <w:t>Agree</w:t>
            </w:r>
            <w:r w:rsidR="00801FBF" w:rsidRPr="00F75CE7">
              <w:rPr>
                <w:rFonts w:eastAsia="Times New Roman"/>
                <w:lang w:eastAsia="en-GB"/>
              </w:rPr>
              <w:t xml:space="preserve"> the </w:t>
            </w:r>
            <w:r w:rsidR="008A70C1" w:rsidRPr="00F75CE7">
              <w:rPr>
                <w:rFonts w:eastAsia="Times New Roman"/>
                <w:lang w:eastAsia="en-GB"/>
              </w:rPr>
              <w:t>proposed</w:t>
            </w:r>
            <w:r w:rsidR="00C974F1">
              <w:rPr>
                <w:rFonts w:eastAsia="Times New Roman"/>
                <w:lang w:eastAsia="en-GB"/>
              </w:rPr>
              <w:t xml:space="preserve"> two year</w:t>
            </w:r>
            <w:r w:rsidR="00801FBF" w:rsidRPr="00F75CE7">
              <w:rPr>
                <w:rFonts w:eastAsia="Times New Roman"/>
                <w:lang w:eastAsia="en-GB"/>
              </w:rPr>
              <w:t xml:space="preserve"> HRA Capital Programme</w:t>
            </w:r>
            <w:r w:rsidR="00A81B85">
              <w:rPr>
                <w:rFonts w:eastAsia="Times New Roman"/>
                <w:lang w:eastAsia="en-GB"/>
              </w:rPr>
              <w:t xml:space="preserve"> for </w:t>
            </w:r>
            <w:r w:rsidR="00597983">
              <w:rPr>
                <w:rFonts w:eastAsia="Times New Roman"/>
                <w:lang w:eastAsia="en-GB"/>
              </w:rPr>
              <w:t>Sutherland</w:t>
            </w:r>
            <w:r w:rsidR="00A81B85">
              <w:rPr>
                <w:rFonts w:eastAsia="Times New Roman"/>
                <w:lang w:eastAsia="en-GB"/>
              </w:rPr>
              <w:t xml:space="preserve"> 2019-21</w:t>
            </w:r>
            <w:r w:rsidR="00591380" w:rsidRPr="00F75CE7">
              <w:rPr>
                <w:rFonts w:eastAsia="Times New Roman"/>
                <w:lang w:eastAsia="en-GB"/>
              </w:rPr>
              <w:t xml:space="preserve"> as set out</w:t>
            </w:r>
            <w:r w:rsidR="00801FBF" w:rsidRPr="00F75CE7">
              <w:rPr>
                <w:rFonts w:eastAsia="Times New Roman"/>
                <w:lang w:eastAsia="en-GB"/>
              </w:rPr>
              <w:t xml:space="preserve"> in </w:t>
            </w:r>
            <w:r w:rsidR="00801FBF" w:rsidRPr="00F75CE7">
              <w:rPr>
                <w:rFonts w:eastAsia="Times New Roman"/>
                <w:b/>
                <w:lang w:eastAsia="en-GB"/>
              </w:rPr>
              <w:t>Appendix 2</w:t>
            </w:r>
            <w:r w:rsidR="00756DCB">
              <w:rPr>
                <w:rFonts w:eastAsia="Times New Roman"/>
                <w:lang w:eastAsia="en-GB"/>
              </w:rPr>
              <w:t>; and</w:t>
            </w:r>
          </w:p>
          <w:p w:rsidR="008A70C1" w:rsidRDefault="008A70C1" w:rsidP="00801FBF">
            <w:pPr>
              <w:rPr>
                <w:rFonts w:eastAsia="Times New Roman"/>
                <w:lang w:eastAsia="en-GB"/>
              </w:rPr>
            </w:pPr>
          </w:p>
          <w:p w:rsidR="009A0173" w:rsidRPr="009A0173" w:rsidRDefault="008A70C1" w:rsidP="009A0173">
            <w:pPr>
              <w:pStyle w:val="ListParagraph"/>
              <w:numPr>
                <w:ilvl w:val="0"/>
                <w:numId w:val="14"/>
              </w:numPr>
              <w:jc w:val="both"/>
              <w:rPr>
                <w:rFonts w:eastAsia="Times New Roman"/>
                <w:lang w:eastAsia="en-GB"/>
              </w:rPr>
            </w:pPr>
            <w:r w:rsidRPr="00F75CE7">
              <w:rPr>
                <w:rFonts w:eastAsia="Times New Roman"/>
                <w:b/>
                <w:lang w:eastAsia="en-GB"/>
              </w:rPr>
              <w:t>Note</w:t>
            </w:r>
            <w:r w:rsidRPr="00F75CE7">
              <w:rPr>
                <w:rFonts w:eastAsia="Times New Roman"/>
                <w:lang w:eastAsia="en-GB"/>
              </w:rPr>
              <w:t xml:space="preserve"> that updates</w:t>
            </w:r>
            <w:r w:rsidR="0015034F" w:rsidRPr="00F75CE7">
              <w:rPr>
                <w:rFonts w:eastAsia="Times New Roman"/>
                <w:lang w:eastAsia="en-GB"/>
              </w:rPr>
              <w:t xml:space="preserve"> on </w:t>
            </w:r>
            <w:r w:rsidRPr="00F75CE7">
              <w:rPr>
                <w:rFonts w:eastAsia="Times New Roman"/>
                <w:lang w:eastAsia="en-GB"/>
              </w:rPr>
              <w:t>the Housing Revenue Account Capital</w:t>
            </w:r>
            <w:r w:rsidR="0015034F" w:rsidRPr="00F75CE7">
              <w:rPr>
                <w:rFonts w:eastAsia="Times New Roman"/>
                <w:lang w:eastAsia="en-GB"/>
              </w:rPr>
              <w:t xml:space="preserve"> </w:t>
            </w:r>
            <w:r w:rsidRPr="00F75CE7">
              <w:rPr>
                <w:rFonts w:eastAsia="Times New Roman"/>
                <w:lang w:eastAsia="en-GB"/>
              </w:rPr>
              <w:t>Programme will continue to b</w:t>
            </w:r>
            <w:r w:rsidR="0015034F" w:rsidRPr="00F75CE7">
              <w:rPr>
                <w:rFonts w:eastAsia="Times New Roman"/>
                <w:lang w:eastAsia="en-GB"/>
              </w:rPr>
              <w:t>e provided through ward briefings</w:t>
            </w:r>
            <w:r w:rsidR="00810502" w:rsidRPr="00F75CE7">
              <w:rPr>
                <w:rFonts w:eastAsia="Times New Roman"/>
                <w:lang w:eastAsia="en-GB"/>
              </w:rPr>
              <w:t xml:space="preserve"> and </w:t>
            </w:r>
            <w:r w:rsidR="00F75CE7">
              <w:rPr>
                <w:rFonts w:eastAsia="Times New Roman"/>
                <w:lang w:eastAsia="en-GB"/>
              </w:rPr>
              <w:t xml:space="preserve">at Local </w:t>
            </w:r>
            <w:r w:rsidR="00810502" w:rsidRPr="00F75CE7">
              <w:rPr>
                <w:rFonts w:eastAsia="Times New Roman"/>
                <w:lang w:eastAsia="en-GB"/>
              </w:rPr>
              <w:t>Committees as requested by local Members</w:t>
            </w:r>
            <w:r w:rsidRPr="00F75CE7">
              <w:rPr>
                <w:rFonts w:eastAsia="Times New Roman"/>
                <w:lang w:eastAsia="en-GB"/>
              </w:rPr>
              <w:t xml:space="preserve">, in addition to reporting to </w:t>
            </w:r>
            <w:r w:rsidR="00810502" w:rsidRPr="00F75CE7">
              <w:rPr>
                <w:rFonts w:eastAsia="Times New Roman"/>
                <w:lang w:eastAsia="en-GB"/>
              </w:rPr>
              <w:t xml:space="preserve">the </w:t>
            </w:r>
            <w:r w:rsidRPr="00F75CE7">
              <w:rPr>
                <w:rFonts w:eastAsia="Times New Roman"/>
                <w:lang w:eastAsia="en-GB"/>
              </w:rPr>
              <w:t xml:space="preserve">Environment, Development and Infrastructure Committee. </w:t>
            </w:r>
          </w:p>
          <w:p w:rsidR="009A0173" w:rsidRPr="009A0173" w:rsidRDefault="009A0173" w:rsidP="009A0173">
            <w:pPr>
              <w:rPr>
                <w:rFonts w:eastAsia="Times New Roman"/>
                <w:lang w:eastAsia="en-GB"/>
              </w:rPr>
            </w:pPr>
          </w:p>
          <w:p w:rsidR="009A0173" w:rsidRPr="009A0173" w:rsidRDefault="009A0173" w:rsidP="009A0173">
            <w:pPr>
              <w:rPr>
                <w:rFonts w:eastAsia="Times New Roman"/>
                <w:lang w:eastAsia="en-GB"/>
              </w:rPr>
            </w:pPr>
          </w:p>
          <w:p w:rsidR="009A0173" w:rsidRPr="009A0173" w:rsidRDefault="009A0173" w:rsidP="009A0173">
            <w:pPr>
              <w:rPr>
                <w:rFonts w:eastAsia="Times New Roman"/>
                <w:lang w:eastAsia="en-GB"/>
              </w:rPr>
            </w:pPr>
          </w:p>
          <w:p w:rsidR="009A0173" w:rsidRPr="009A0173" w:rsidRDefault="009A0173" w:rsidP="009A0173">
            <w:pPr>
              <w:rPr>
                <w:rFonts w:eastAsia="Times New Roman"/>
                <w:lang w:eastAsia="en-GB"/>
              </w:rPr>
            </w:pPr>
          </w:p>
          <w:p w:rsidR="00756DCB" w:rsidRPr="009A0173" w:rsidRDefault="00756DCB" w:rsidP="009A0173">
            <w:pPr>
              <w:rPr>
                <w:rFonts w:eastAsia="Times New Roman"/>
                <w:lang w:eastAsia="en-GB"/>
              </w:rPr>
            </w:pPr>
          </w:p>
        </w:tc>
      </w:tr>
      <w:tr w:rsidR="00735A47" w:rsidRPr="007135AE" w:rsidTr="00890327">
        <w:trPr>
          <w:trHeight w:val="419"/>
        </w:trPr>
        <w:tc>
          <w:tcPr>
            <w:tcW w:w="709" w:type="dxa"/>
          </w:tcPr>
          <w:p w:rsidR="00735A47" w:rsidRDefault="00735A47" w:rsidP="001E737E">
            <w:pPr>
              <w:rPr>
                <w:rFonts w:eastAsia="Times New Roman"/>
                <w:b/>
                <w:lang w:eastAsia="en-GB"/>
              </w:rPr>
            </w:pPr>
            <w:r>
              <w:lastRenderedPageBreak/>
              <w:br w:type="page"/>
            </w:r>
            <w:r w:rsidR="00756DCB">
              <w:rPr>
                <w:rFonts w:eastAsia="Times New Roman"/>
                <w:b/>
                <w:lang w:eastAsia="en-GB"/>
              </w:rPr>
              <w:t>3</w:t>
            </w:r>
          </w:p>
        </w:tc>
        <w:tc>
          <w:tcPr>
            <w:tcW w:w="9498" w:type="dxa"/>
          </w:tcPr>
          <w:p w:rsidR="00735A47" w:rsidRDefault="007E7E2D" w:rsidP="00735A47">
            <w:pPr>
              <w:rPr>
                <w:b/>
              </w:rPr>
            </w:pPr>
            <w:r>
              <w:rPr>
                <w:b/>
              </w:rPr>
              <w:t>Background</w:t>
            </w:r>
          </w:p>
          <w:p w:rsidR="00735A47" w:rsidRDefault="00735A47" w:rsidP="007135AE">
            <w:pPr>
              <w:contextualSpacing/>
              <w:rPr>
                <w:rFonts w:eastAsia="Times New Roman"/>
                <w:lang w:eastAsia="en-GB"/>
              </w:rPr>
            </w:pPr>
          </w:p>
        </w:tc>
      </w:tr>
      <w:tr w:rsidR="00735A47" w:rsidRPr="007135AE" w:rsidTr="00735A47">
        <w:tc>
          <w:tcPr>
            <w:tcW w:w="709" w:type="dxa"/>
          </w:tcPr>
          <w:p w:rsidR="00735A47" w:rsidRPr="00735A47" w:rsidRDefault="00735A47" w:rsidP="001E737E">
            <w:pPr>
              <w:rPr>
                <w:rFonts w:eastAsia="Times New Roman"/>
                <w:lang w:eastAsia="en-GB"/>
              </w:rPr>
            </w:pPr>
            <w:r w:rsidRPr="00735A47">
              <w:rPr>
                <w:rFonts w:eastAsia="Times New Roman"/>
                <w:lang w:eastAsia="en-GB"/>
              </w:rPr>
              <w:t>3.1</w:t>
            </w:r>
          </w:p>
        </w:tc>
        <w:tc>
          <w:tcPr>
            <w:tcW w:w="9498" w:type="dxa"/>
          </w:tcPr>
          <w:p w:rsidR="00917D9E" w:rsidRPr="00F75CE7" w:rsidRDefault="00917D9E" w:rsidP="00917D9E">
            <w:pPr>
              <w:pStyle w:val="Default"/>
              <w:jc w:val="both"/>
            </w:pPr>
            <w:r w:rsidRPr="00F75CE7">
              <w:t>The Community Services Committee on 20 August 2015 ap</w:t>
            </w:r>
            <w:r w:rsidR="003055A5" w:rsidRPr="00F75CE7">
              <w:t>proved the framework for the Housing Revenue Account (HRA)</w:t>
            </w:r>
            <w:r w:rsidRPr="00F75CE7">
              <w:t xml:space="preserve"> Capital Programme for 2016-2021.</w:t>
            </w:r>
            <w:r w:rsidR="008C6886" w:rsidRPr="00F75CE7">
              <w:t xml:space="preserve"> </w:t>
            </w:r>
            <w:r w:rsidR="00756DCB">
              <w:t xml:space="preserve"> </w:t>
            </w:r>
            <w:r w:rsidR="008C6886" w:rsidRPr="00F75CE7">
              <w:t xml:space="preserve">This report </w:t>
            </w:r>
            <w:r w:rsidR="006C582D">
              <w:t xml:space="preserve">highlights </w:t>
            </w:r>
            <w:r w:rsidR="008C6886" w:rsidRPr="00F75CE7">
              <w:t>t</w:t>
            </w:r>
            <w:r w:rsidR="00843722" w:rsidRPr="00F75CE7">
              <w:t xml:space="preserve">he </w:t>
            </w:r>
            <w:r w:rsidR="00591380" w:rsidRPr="00F75CE7">
              <w:t>resource allocation</w:t>
            </w:r>
            <w:r w:rsidR="006C582D">
              <w:t>s</w:t>
            </w:r>
            <w:r w:rsidR="00591380" w:rsidRPr="00F75CE7">
              <w:t xml:space="preserve"> for</w:t>
            </w:r>
            <w:r w:rsidR="006C582D">
              <w:t xml:space="preserve"> </w:t>
            </w:r>
            <w:r w:rsidR="003E5B1C">
              <w:rPr>
                <w:rFonts w:eastAsia="Times New Roman"/>
                <w:lang w:eastAsia="en-GB"/>
              </w:rPr>
              <w:t xml:space="preserve">Sutherland </w:t>
            </w:r>
            <w:r w:rsidR="006C582D">
              <w:t xml:space="preserve">for 2019 to </w:t>
            </w:r>
            <w:r w:rsidR="00C974F1">
              <w:t>2</w:t>
            </w:r>
            <w:r w:rsidR="006C582D">
              <w:t>02</w:t>
            </w:r>
            <w:r w:rsidR="00C974F1">
              <w:t>1</w:t>
            </w:r>
            <w:r w:rsidR="006C582D">
              <w:t xml:space="preserve"> as approved in the above noted report, and details the proposed HRA Capital Programme for 2019 to 2021.</w:t>
            </w:r>
          </w:p>
          <w:p w:rsidR="001F1DCD" w:rsidRPr="00F75CE7" w:rsidRDefault="001F1DCD" w:rsidP="007135AE">
            <w:pPr>
              <w:contextualSpacing/>
              <w:rPr>
                <w:rFonts w:eastAsia="Times New Roman"/>
                <w:lang w:eastAsia="en-GB"/>
              </w:rPr>
            </w:pPr>
          </w:p>
        </w:tc>
      </w:tr>
      <w:tr w:rsidR="00B00C5E" w:rsidRPr="007135AE" w:rsidTr="00735A47">
        <w:tc>
          <w:tcPr>
            <w:tcW w:w="709" w:type="dxa"/>
          </w:tcPr>
          <w:p w:rsidR="00B00C5E" w:rsidRPr="00735A47" w:rsidRDefault="00B00C5E" w:rsidP="001E737E">
            <w:pPr>
              <w:rPr>
                <w:rFonts w:eastAsia="Times New Roman"/>
                <w:lang w:eastAsia="en-GB"/>
              </w:rPr>
            </w:pPr>
            <w:r>
              <w:rPr>
                <w:rFonts w:eastAsia="Times New Roman"/>
                <w:lang w:eastAsia="en-GB"/>
              </w:rPr>
              <w:t>3.2</w:t>
            </w:r>
          </w:p>
        </w:tc>
        <w:tc>
          <w:tcPr>
            <w:tcW w:w="9498" w:type="dxa"/>
          </w:tcPr>
          <w:p w:rsidR="00B00C5E" w:rsidRDefault="00B00C5E" w:rsidP="00917D9E">
            <w:pPr>
              <w:pStyle w:val="Default"/>
              <w:jc w:val="both"/>
            </w:pPr>
            <w:r>
              <w:t xml:space="preserve">This report </w:t>
            </w:r>
            <w:r w:rsidR="00F75CE7">
              <w:t xml:space="preserve">relates to the </w:t>
            </w:r>
            <w:r>
              <w:t>mainstrea</w:t>
            </w:r>
            <w:r w:rsidR="00C974F1">
              <w:t>m HRA Capital Programme for 2019-2</w:t>
            </w:r>
            <w:r w:rsidR="006C582D">
              <w:t>02</w:t>
            </w:r>
            <w:r w:rsidR="00C974F1">
              <w:t>1</w:t>
            </w:r>
            <w:r>
              <w:t xml:space="preserve">. </w:t>
            </w:r>
            <w:r w:rsidR="00756DCB">
              <w:t xml:space="preserve"> </w:t>
            </w:r>
            <w:r>
              <w:t>New build housing is reported separately to Environment, Development &amp; Infrastructure Committee.</w:t>
            </w:r>
          </w:p>
          <w:p w:rsidR="00B00C5E" w:rsidRDefault="00B00C5E" w:rsidP="00917D9E">
            <w:pPr>
              <w:pStyle w:val="Default"/>
              <w:jc w:val="both"/>
            </w:pPr>
          </w:p>
        </w:tc>
      </w:tr>
      <w:tr w:rsidR="00735A47" w:rsidRPr="007135AE" w:rsidTr="00735A47">
        <w:tc>
          <w:tcPr>
            <w:tcW w:w="709" w:type="dxa"/>
          </w:tcPr>
          <w:p w:rsidR="00735A47" w:rsidRDefault="00756DCB" w:rsidP="001E737E">
            <w:pPr>
              <w:rPr>
                <w:rFonts w:eastAsia="Times New Roman"/>
                <w:b/>
                <w:lang w:eastAsia="en-GB"/>
              </w:rPr>
            </w:pPr>
            <w:r>
              <w:rPr>
                <w:rFonts w:eastAsia="Times New Roman"/>
                <w:b/>
                <w:lang w:eastAsia="en-GB"/>
              </w:rPr>
              <w:t>4</w:t>
            </w:r>
          </w:p>
        </w:tc>
        <w:tc>
          <w:tcPr>
            <w:tcW w:w="9498" w:type="dxa"/>
          </w:tcPr>
          <w:p w:rsidR="00735A47" w:rsidRDefault="009423C8" w:rsidP="00735A47">
            <w:pPr>
              <w:rPr>
                <w:b/>
              </w:rPr>
            </w:pPr>
            <w:r>
              <w:rPr>
                <w:b/>
              </w:rPr>
              <w:t>HRA Capital Plan 2016-2021</w:t>
            </w:r>
          </w:p>
          <w:p w:rsidR="00735A47" w:rsidRDefault="00735A47" w:rsidP="007135AE">
            <w:pPr>
              <w:contextualSpacing/>
              <w:rPr>
                <w:rFonts w:eastAsia="Times New Roman"/>
                <w:lang w:eastAsia="en-GB"/>
              </w:rPr>
            </w:pPr>
          </w:p>
        </w:tc>
      </w:tr>
      <w:tr w:rsidR="00735A47" w:rsidRPr="007135AE" w:rsidTr="00735A47">
        <w:tc>
          <w:tcPr>
            <w:tcW w:w="709" w:type="dxa"/>
          </w:tcPr>
          <w:p w:rsidR="00735A47" w:rsidRPr="00735A47" w:rsidRDefault="00735A47" w:rsidP="001E737E">
            <w:pPr>
              <w:rPr>
                <w:rFonts w:eastAsia="Times New Roman"/>
                <w:lang w:eastAsia="en-GB"/>
              </w:rPr>
            </w:pPr>
            <w:r w:rsidRPr="00735A47">
              <w:rPr>
                <w:rFonts w:eastAsia="Times New Roman"/>
                <w:lang w:eastAsia="en-GB"/>
              </w:rPr>
              <w:t>4.1</w:t>
            </w:r>
          </w:p>
        </w:tc>
        <w:tc>
          <w:tcPr>
            <w:tcW w:w="9498" w:type="dxa"/>
          </w:tcPr>
          <w:p w:rsidR="00735A47" w:rsidRDefault="003055A5" w:rsidP="003055A5">
            <w:pPr>
              <w:contextualSpacing/>
              <w:jc w:val="both"/>
              <w:rPr>
                <w:rFonts w:eastAsia="Times New Roman"/>
                <w:lang w:eastAsia="en-GB"/>
              </w:rPr>
            </w:pPr>
            <w:r w:rsidRPr="003055A5">
              <w:rPr>
                <w:rFonts w:eastAsia="Times New Roman"/>
                <w:lang w:eastAsia="en-GB"/>
              </w:rPr>
              <w:t>The Council’s Annual Return of the Scottish Social Housing Charter to 31 March 2016 reported that the Council had reached compliance with the Scottish Housing Quality Standard (SHQS).</w:t>
            </w:r>
            <w:r>
              <w:rPr>
                <w:rFonts w:eastAsia="Times New Roman"/>
                <w:lang w:eastAsia="en-GB"/>
              </w:rPr>
              <w:t xml:space="preserve"> </w:t>
            </w:r>
            <w:r w:rsidR="00756DCB">
              <w:rPr>
                <w:rFonts w:eastAsia="Times New Roman"/>
                <w:lang w:eastAsia="en-GB"/>
              </w:rPr>
              <w:t xml:space="preserve"> Since 2007</w:t>
            </w:r>
            <w:r>
              <w:rPr>
                <w:rFonts w:eastAsia="Times New Roman"/>
                <w:lang w:eastAsia="en-GB"/>
              </w:rPr>
              <w:t xml:space="preserve"> the HRA programme had been focussed on achieving the SHQS.</w:t>
            </w:r>
          </w:p>
          <w:p w:rsidR="001F1DCD" w:rsidRDefault="001F1DCD" w:rsidP="007135AE">
            <w:pPr>
              <w:contextualSpacing/>
              <w:rPr>
                <w:rFonts w:eastAsia="Times New Roman"/>
                <w:lang w:eastAsia="en-GB"/>
              </w:rPr>
            </w:pPr>
          </w:p>
        </w:tc>
      </w:tr>
      <w:tr w:rsidR="00735A47" w:rsidRPr="007135AE" w:rsidTr="00735A47">
        <w:tc>
          <w:tcPr>
            <w:tcW w:w="709" w:type="dxa"/>
          </w:tcPr>
          <w:p w:rsidR="00735A47" w:rsidRPr="00735A47" w:rsidRDefault="00735A47" w:rsidP="001E737E">
            <w:pPr>
              <w:rPr>
                <w:rFonts w:eastAsia="Times New Roman"/>
                <w:lang w:eastAsia="en-GB"/>
              </w:rPr>
            </w:pPr>
            <w:r w:rsidRPr="00735A47">
              <w:rPr>
                <w:rFonts w:eastAsia="Times New Roman"/>
                <w:lang w:eastAsia="en-GB"/>
              </w:rPr>
              <w:t>4.2</w:t>
            </w:r>
          </w:p>
        </w:tc>
        <w:tc>
          <w:tcPr>
            <w:tcW w:w="9498" w:type="dxa"/>
          </w:tcPr>
          <w:p w:rsidR="003055A5" w:rsidRDefault="00125695" w:rsidP="003055A5">
            <w:pPr>
              <w:contextualSpacing/>
              <w:rPr>
                <w:rFonts w:eastAsia="Times New Roman"/>
                <w:lang w:eastAsia="en-GB"/>
              </w:rPr>
            </w:pPr>
            <w:r>
              <w:rPr>
                <w:rFonts w:eastAsia="Times New Roman"/>
                <w:lang w:eastAsia="en-GB"/>
              </w:rPr>
              <w:t xml:space="preserve">As approved at Committee </w:t>
            </w:r>
            <w:r w:rsidR="003055A5" w:rsidRPr="003055A5">
              <w:rPr>
                <w:rFonts w:eastAsia="Times New Roman"/>
                <w:lang w:eastAsia="en-GB"/>
              </w:rPr>
              <w:t>on 20 August 2015, the priority for future investment is based on a number of post-SHQS Capital Plan principles:</w:t>
            </w:r>
            <w:r w:rsidR="00756DCB">
              <w:rPr>
                <w:rFonts w:eastAsia="Times New Roman"/>
                <w:lang w:eastAsia="en-GB"/>
              </w:rPr>
              <w:t>-</w:t>
            </w:r>
          </w:p>
          <w:p w:rsidR="003055A5" w:rsidRDefault="003055A5" w:rsidP="003055A5">
            <w:pPr>
              <w:contextualSpacing/>
              <w:rPr>
                <w:rFonts w:eastAsia="Times New Roman"/>
                <w:lang w:eastAsia="en-GB"/>
              </w:rPr>
            </w:pPr>
          </w:p>
          <w:p w:rsidR="003055A5" w:rsidRPr="00F75CE7" w:rsidRDefault="003055A5" w:rsidP="00756DCB">
            <w:pPr>
              <w:pStyle w:val="ListParagraph"/>
              <w:numPr>
                <w:ilvl w:val="0"/>
                <w:numId w:val="17"/>
              </w:numPr>
              <w:ind w:left="432" w:hanging="450"/>
              <w:jc w:val="both"/>
              <w:rPr>
                <w:rFonts w:eastAsia="Times New Roman"/>
                <w:lang w:eastAsia="en-GB"/>
              </w:rPr>
            </w:pPr>
            <w:r w:rsidRPr="00F75CE7">
              <w:rPr>
                <w:rFonts w:eastAsia="Times New Roman"/>
                <w:lang w:eastAsia="en-GB"/>
              </w:rPr>
              <w:t>a life-cycle based approach to major component replacement, which targets replacement of kitchens, bathrooms, windows and doors based on the last installation date recorded on the Housing Information System, adjusted through area knowledge on other relevant stock condition information;</w:t>
            </w:r>
          </w:p>
          <w:p w:rsidR="003055A5" w:rsidRPr="003055A5" w:rsidRDefault="003055A5" w:rsidP="00756DCB">
            <w:pPr>
              <w:ind w:left="432" w:hanging="450"/>
              <w:contextualSpacing/>
              <w:jc w:val="both"/>
              <w:rPr>
                <w:rFonts w:eastAsia="Times New Roman"/>
                <w:lang w:eastAsia="en-GB"/>
              </w:rPr>
            </w:pPr>
          </w:p>
          <w:p w:rsidR="003055A5" w:rsidRPr="00F75CE7" w:rsidRDefault="003055A5" w:rsidP="00756DCB">
            <w:pPr>
              <w:pStyle w:val="ListParagraph"/>
              <w:numPr>
                <w:ilvl w:val="0"/>
                <w:numId w:val="17"/>
              </w:numPr>
              <w:ind w:left="432" w:hanging="450"/>
              <w:jc w:val="both"/>
              <w:rPr>
                <w:rFonts w:eastAsia="Times New Roman"/>
                <w:lang w:eastAsia="en-GB"/>
              </w:rPr>
            </w:pPr>
            <w:r w:rsidRPr="00F75CE7">
              <w:rPr>
                <w:rFonts w:eastAsia="Times New Roman"/>
                <w:lang w:eastAsia="en-GB"/>
              </w:rPr>
              <w:t xml:space="preserve">a programme of heating and energy efficiency work based on compliance where feasible </w:t>
            </w:r>
            <w:r w:rsidR="004F68C5">
              <w:rPr>
                <w:rFonts w:eastAsia="Times New Roman"/>
                <w:lang w:eastAsia="en-GB"/>
              </w:rPr>
              <w:t xml:space="preserve">with the Scottish Government’s </w:t>
            </w:r>
            <w:r w:rsidRPr="00F75CE7">
              <w:rPr>
                <w:rFonts w:eastAsia="Times New Roman"/>
                <w:lang w:eastAsia="en-GB"/>
              </w:rPr>
              <w:t>Energy Efficiency Stand</w:t>
            </w:r>
            <w:r w:rsidR="00756DCB">
              <w:rPr>
                <w:rFonts w:eastAsia="Times New Roman"/>
                <w:lang w:eastAsia="en-GB"/>
              </w:rPr>
              <w:t>ard for Social Housing (EESSH);</w:t>
            </w:r>
          </w:p>
          <w:p w:rsidR="003055A5" w:rsidRPr="003055A5" w:rsidRDefault="003055A5" w:rsidP="00756DCB">
            <w:pPr>
              <w:ind w:left="432" w:hanging="450"/>
              <w:contextualSpacing/>
              <w:jc w:val="both"/>
              <w:rPr>
                <w:rFonts w:eastAsia="Times New Roman"/>
                <w:lang w:eastAsia="en-GB"/>
              </w:rPr>
            </w:pPr>
          </w:p>
          <w:p w:rsidR="003055A5" w:rsidRPr="00F75CE7" w:rsidRDefault="003055A5" w:rsidP="00756DCB">
            <w:pPr>
              <w:pStyle w:val="ListParagraph"/>
              <w:numPr>
                <w:ilvl w:val="0"/>
                <w:numId w:val="17"/>
              </w:numPr>
              <w:ind w:left="432" w:hanging="450"/>
              <w:jc w:val="both"/>
              <w:rPr>
                <w:rFonts w:eastAsia="Times New Roman"/>
                <w:lang w:eastAsia="en-GB"/>
              </w:rPr>
            </w:pPr>
            <w:r w:rsidRPr="00F75CE7">
              <w:rPr>
                <w:rFonts w:eastAsia="Times New Roman"/>
                <w:lang w:eastAsia="en-GB"/>
              </w:rPr>
              <w:t>an allowance for structural work to roofs, chimneys and external fabric of properties;</w:t>
            </w:r>
          </w:p>
          <w:p w:rsidR="003055A5" w:rsidRPr="003055A5" w:rsidRDefault="003055A5" w:rsidP="00756DCB">
            <w:pPr>
              <w:ind w:left="432" w:hanging="450"/>
              <w:contextualSpacing/>
              <w:jc w:val="both"/>
              <w:rPr>
                <w:rFonts w:eastAsia="Times New Roman"/>
                <w:lang w:eastAsia="en-GB"/>
              </w:rPr>
            </w:pPr>
          </w:p>
          <w:p w:rsidR="003055A5" w:rsidRPr="00F75CE7" w:rsidRDefault="003055A5" w:rsidP="00756DCB">
            <w:pPr>
              <w:pStyle w:val="ListParagraph"/>
              <w:numPr>
                <w:ilvl w:val="0"/>
                <w:numId w:val="17"/>
              </w:numPr>
              <w:ind w:left="432" w:hanging="450"/>
              <w:jc w:val="both"/>
              <w:rPr>
                <w:rFonts w:eastAsia="Times New Roman"/>
                <w:lang w:eastAsia="en-GB"/>
              </w:rPr>
            </w:pPr>
            <w:r w:rsidRPr="00F75CE7">
              <w:rPr>
                <w:rFonts w:eastAsia="Times New Roman"/>
                <w:lang w:eastAsia="en-GB"/>
              </w:rPr>
              <w:t>an allowance for environmental improvement works</w:t>
            </w:r>
            <w:r w:rsidR="009423C8">
              <w:rPr>
                <w:rFonts w:eastAsia="Times New Roman"/>
                <w:lang w:eastAsia="en-GB"/>
              </w:rPr>
              <w:t xml:space="preserve"> based on 5% of the Area’s mainstream budget</w:t>
            </w:r>
            <w:r w:rsidR="00756DCB">
              <w:rPr>
                <w:rFonts w:eastAsia="Times New Roman"/>
                <w:lang w:eastAsia="en-GB"/>
              </w:rPr>
              <w:t>; and</w:t>
            </w:r>
          </w:p>
          <w:p w:rsidR="003055A5" w:rsidRPr="003055A5" w:rsidRDefault="003055A5" w:rsidP="00756DCB">
            <w:pPr>
              <w:ind w:left="432" w:hanging="450"/>
              <w:contextualSpacing/>
              <w:jc w:val="both"/>
              <w:rPr>
                <w:rFonts w:eastAsia="Times New Roman"/>
                <w:lang w:eastAsia="en-GB"/>
              </w:rPr>
            </w:pPr>
          </w:p>
          <w:p w:rsidR="001F1DCD" w:rsidRPr="00F75CE7" w:rsidRDefault="003055A5" w:rsidP="00756DCB">
            <w:pPr>
              <w:pStyle w:val="ListParagraph"/>
              <w:numPr>
                <w:ilvl w:val="0"/>
                <w:numId w:val="17"/>
              </w:numPr>
              <w:ind w:left="432" w:hanging="450"/>
              <w:jc w:val="both"/>
              <w:rPr>
                <w:rFonts w:eastAsia="Times New Roman"/>
                <w:lang w:eastAsia="en-GB"/>
              </w:rPr>
            </w:pPr>
            <w:proofErr w:type="gramStart"/>
            <w:r w:rsidRPr="00F75CE7">
              <w:rPr>
                <w:rFonts w:eastAsia="Times New Roman"/>
                <w:lang w:eastAsia="en-GB"/>
              </w:rPr>
              <w:t>continued</w:t>
            </w:r>
            <w:proofErr w:type="gramEnd"/>
            <w:r w:rsidRPr="00F75CE7">
              <w:rPr>
                <w:rFonts w:eastAsia="Times New Roman"/>
                <w:lang w:eastAsia="en-GB"/>
              </w:rPr>
              <w:t xml:space="preserve"> funding of equipment and adaptations to allow disabled and elderly tenants to </w:t>
            </w:r>
            <w:r w:rsidR="009423C8">
              <w:rPr>
                <w:rFonts w:eastAsia="Times New Roman"/>
                <w:lang w:eastAsia="en-GB"/>
              </w:rPr>
              <w:t>rem</w:t>
            </w:r>
            <w:r w:rsidR="00890327">
              <w:rPr>
                <w:rFonts w:eastAsia="Times New Roman"/>
                <w:lang w:eastAsia="en-GB"/>
              </w:rPr>
              <w:t>ain in their current tenancy. T</w:t>
            </w:r>
            <w:r w:rsidR="009423C8">
              <w:rPr>
                <w:rFonts w:eastAsia="Times New Roman"/>
                <w:lang w:eastAsia="en-GB"/>
              </w:rPr>
              <w:t>his budget is allocated as a pro-rata of housing stock in each area.</w:t>
            </w:r>
          </w:p>
          <w:p w:rsidR="003055A5" w:rsidRDefault="003055A5" w:rsidP="003055A5">
            <w:pPr>
              <w:contextualSpacing/>
              <w:rPr>
                <w:rFonts w:eastAsia="Times New Roman"/>
                <w:lang w:eastAsia="en-GB"/>
              </w:rPr>
            </w:pPr>
          </w:p>
        </w:tc>
      </w:tr>
      <w:tr w:rsidR="00735A47" w:rsidRPr="007135AE" w:rsidTr="00926987">
        <w:trPr>
          <w:trHeight w:val="1798"/>
        </w:trPr>
        <w:tc>
          <w:tcPr>
            <w:tcW w:w="709" w:type="dxa"/>
          </w:tcPr>
          <w:p w:rsidR="00735A47" w:rsidRPr="00926987" w:rsidRDefault="009423C8" w:rsidP="001E737E">
            <w:pPr>
              <w:rPr>
                <w:rFonts w:eastAsia="Times New Roman"/>
                <w:lang w:eastAsia="en-GB"/>
              </w:rPr>
            </w:pPr>
            <w:r w:rsidRPr="00926987">
              <w:rPr>
                <w:rFonts w:eastAsia="Times New Roman"/>
                <w:lang w:eastAsia="en-GB"/>
              </w:rPr>
              <w:t>4.3</w:t>
            </w:r>
          </w:p>
        </w:tc>
        <w:tc>
          <w:tcPr>
            <w:tcW w:w="9498" w:type="dxa"/>
          </w:tcPr>
          <w:p w:rsidR="00735A47" w:rsidRPr="00926987" w:rsidRDefault="009423C8" w:rsidP="00756DCB">
            <w:pPr>
              <w:jc w:val="both"/>
            </w:pPr>
            <w:r w:rsidRPr="00926987">
              <w:t xml:space="preserve">The starting point for HRA capital planning is to estimate a reasonable level of expenditure required given the Highland housing stock. </w:t>
            </w:r>
            <w:r w:rsidR="00756DCB">
              <w:t xml:space="preserve"> </w:t>
            </w:r>
            <w:r w:rsidRPr="00926987">
              <w:t xml:space="preserve">In order to establish this as objectively as possible the </w:t>
            </w:r>
            <w:r w:rsidR="00926987" w:rsidRPr="00926987">
              <w:t>Council</w:t>
            </w:r>
            <w:r w:rsidRPr="00926987">
              <w:t xml:space="preserve"> undertook in 2015 an analysis of Highland housing stock based on a standard set of “Major Repairs </w:t>
            </w:r>
            <w:r w:rsidR="00926987" w:rsidRPr="00926987">
              <w:t>Allowances” published</w:t>
            </w:r>
            <w:r w:rsidRPr="00926987">
              <w:t xml:space="preserve"> by the UK Government Department for </w:t>
            </w:r>
            <w:r w:rsidR="00926987" w:rsidRPr="00926987">
              <w:t>Communities</w:t>
            </w:r>
            <w:r w:rsidRPr="00926987">
              <w:t xml:space="preserve"> and Local Government, adjusted for projected annual BCIS indices (contract price </w:t>
            </w:r>
            <w:r w:rsidR="00926987" w:rsidRPr="00926987">
              <w:t>inflation</w:t>
            </w:r>
            <w:r w:rsidRPr="00926987">
              <w:t>).</w:t>
            </w:r>
            <w:r w:rsidR="00926987">
              <w:t xml:space="preserve"> </w:t>
            </w:r>
          </w:p>
        </w:tc>
      </w:tr>
      <w:tr w:rsidR="009423C8" w:rsidRPr="007135AE" w:rsidTr="00735A47">
        <w:tc>
          <w:tcPr>
            <w:tcW w:w="709" w:type="dxa"/>
          </w:tcPr>
          <w:p w:rsidR="009423C8" w:rsidRPr="00926987" w:rsidRDefault="009423C8" w:rsidP="001E737E">
            <w:pPr>
              <w:rPr>
                <w:rFonts w:eastAsia="Times New Roman"/>
                <w:lang w:eastAsia="en-GB"/>
              </w:rPr>
            </w:pPr>
            <w:r w:rsidRPr="00926987">
              <w:rPr>
                <w:rFonts w:eastAsia="Times New Roman"/>
                <w:lang w:eastAsia="en-GB"/>
              </w:rPr>
              <w:t>4.4</w:t>
            </w:r>
          </w:p>
        </w:tc>
        <w:tc>
          <w:tcPr>
            <w:tcW w:w="9498" w:type="dxa"/>
          </w:tcPr>
          <w:p w:rsidR="009423C8" w:rsidRPr="00926987" w:rsidRDefault="009423C8" w:rsidP="00756DCB">
            <w:pPr>
              <w:jc w:val="both"/>
            </w:pPr>
            <w:r w:rsidRPr="00926987">
              <w:t xml:space="preserve">This method provides standard investment allowances per house based on house type and construction. </w:t>
            </w:r>
            <w:r w:rsidR="00756DCB">
              <w:t xml:space="preserve"> </w:t>
            </w:r>
            <w:r w:rsidRPr="00926987">
              <w:t>These allowances are based on the costs of standard life cycle replacement of major building elements.</w:t>
            </w:r>
          </w:p>
          <w:p w:rsidR="009423C8" w:rsidRPr="00926987" w:rsidRDefault="009423C8" w:rsidP="00756DCB">
            <w:pPr>
              <w:jc w:val="both"/>
            </w:pPr>
          </w:p>
        </w:tc>
      </w:tr>
      <w:tr w:rsidR="009423C8" w:rsidRPr="007135AE" w:rsidTr="00735A47">
        <w:tc>
          <w:tcPr>
            <w:tcW w:w="709" w:type="dxa"/>
          </w:tcPr>
          <w:p w:rsidR="009423C8" w:rsidRPr="00926987" w:rsidRDefault="009423C8" w:rsidP="001E737E">
            <w:pPr>
              <w:rPr>
                <w:rFonts w:eastAsia="Times New Roman"/>
                <w:lang w:eastAsia="en-GB"/>
              </w:rPr>
            </w:pPr>
            <w:r w:rsidRPr="00926987">
              <w:rPr>
                <w:rFonts w:eastAsia="Times New Roman"/>
                <w:lang w:eastAsia="en-GB"/>
              </w:rPr>
              <w:lastRenderedPageBreak/>
              <w:t>4.5</w:t>
            </w:r>
          </w:p>
        </w:tc>
        <w:tc>
          <w:tcPr>
            <w:tcW w:w="9498" w:type="dxa"/>
          </w:tcPr>
          <w:p w:rsidR="00926987" w:rsidRPr="00926987" w:rsidRDefault="009423C8" w:rsidP="00756DCB">
            <w:pPr>
              <w:jc w:val="both"/>
            </w:pPr>
            <w:r w:rsidRPr="00926987">
              <w:t xml:space="preserve">The HRA Capital Plan 2016-2021 used this method to assess a level of expenditure required for our housing stock. </w:t>
            </w:r>
          </w:p>
        </w:tc>
      </w:tr>
      <w:tr w:rsidR="00735A47" w:rsidRPr="007135AE" w:rsidTr="00735A47">
        <w:tc>
          <w:tcPr>
            <w:tcW w:w="709" w:type="dxa"/>
          </w:tcPr>
          <w:p w:rsidR="003C4600" w:rsidRDefault="00926987" w:rsidP="001E737E">
            <w:pPr>
              <w:rPr>
                <w:rFonts w:eastAsia="Times New Roman"/>
                <w:lang w:eastAsia="en-GB"/>
              </w:rPr>
            </w:pPr>
            <w:r>
              <w:rPr>
                <w:rFonts w:eastAsia="Times New Roman"/>
                <w:lang w:eastAsia="en-GB"/>
              </w:rPr>
              <w:t>4.6</w:t>
            </w:r>
          </w:p>
          <w:p w:rsidR="003C4600" w:rsidRPr="003C4600" w:rsidRDefault="003C4600" w:rsidP="003C4600">
            <w:pPr>
              <w:rPr>
                <w:rFonts w:eastAsia="Times New Roman"/>
                <w:lang w:eastAsia="en-GB"/>
              </w:rPr>
            </w:pPr>
          </w:p>
          <w:p w:rsidR="003C4600" w:rsidRPr="003C4600" w:rsidRDefault="003C4600" w:rsidP="003C4600">
            <w:pPr>
              <w:rPr>
                <w:rFonts w:eastAsia="Times New Roman"/>
                <w:lang w:eastAsia="en-GB"/>
              </w:rPr>
            </w:pPr>
          </w:p>
          <w:p w:rsidR="003C4600" w:rsidRPr="003C4600" w:rsidRDefault="003C4600" w:rsidP="003C4600">
            <w:pPr>
              <w:rPr>
                <w:rFonts w:eastAsia="Times New Roman"/>
                <w:lang w:eastAsia="en-GB"/>
              </w:rPr>
            </w:pPr>
          </w:p>
          <w:p w:rsidR="003C4600" w:rsidRPr="003C4600" w:rsidRDefault="003C4600" w:rsidP="003C4600">
            <w:pPr>
              <w:rPr>
                <w:rFonts w:eastAsia="Times New Roman"/>
                <w:lang w:eastAsia="en-GB"/>
              </w:rPr>
            </w:pPr>
          </w:p>
          <w:p w:rsidR="003C4600" w:rsidRPr="003C4600" w:rsidRDefault="003C4600" w:rsidP="003C4600">
            <w:pPr>
              <w:rPr>
                <w:rFonts w:eastAsia="Times New Roman"/>
                <w:lang w:eastAsia="en-GB"/>
              </w:rPr>
            </w:pPr>
          </w:p>
          <w:p w:rsidR="00574D8E" w:rsidRPr="00574D8E" w:rsidRDefault="00574D8E" w:rsidP="00574D8E">
            <w:pPr>
              <w:rPr>
                <w:rFonts w:eastAsia="Times New Roman"/>
                <w:lang w:eastAsia="en-GB"/>
              </w:rPr>
            </w:pPr>
          </w:p>
          <w:p w:rsidR="00735A47" w:rsidRPr="00574D8E" w:rsidRDefault="00735A47" w:rsidP="00574D8E">
            <w:pPr>
              <w:rPr>
                <w:rFonts w:eastAsia="Times New Roman"/>
                <w:lang w:eastAsia="en-GB"/>
              </w:rPr>
            </w:pPr>
          </w:p>
        </w:tc>
        <w:tc>
          <w:tcPr>
            <w:tcW w:w="9498" w:type="dxa"/>
          </w:tcPr>
          <w:p w:rsidR="00735A47" w:rsidRDefault="00737C3D" w:rsidP="00756DCB">
            <w:pPr>
              <w:contextualSpacing/>
              <w:jc w:val="both"/>
              <w:rPr>
                <w:rFonts w:eastAsia="Times New Roman"/>
                <w:lang w:eastAsia="en-GB"/>
              </w:rPr>
            </w:pPr>
            <w:r>
              <w:rPr>
                <w:rFonts w:eastAsia="Times New Roman"/>
                <w:lang w:eastAsia="en-GB"/>
              </w:rPr>
              <w:t xml:space="preserve">The HRA Capital Plan 2016-21 identified the following budget for </w:t>
            </w:r>
            <w:r w:rsidR="00810502">
              <w:rPr>
                <w:rFonts w:eastAsia="Times New Roman"/>
                <w:lang w:eastAsia="en-GB"/>
              </w:rPr>
              <w:t xml:space="preserve">the HRA Capital Programme </w:t>
            </w:r>
            <w:r w:rsidR="00CC075C">
              <w:rPr>
                <w:rFonts w:eastAsia="Times New Roman"/>
                <w:lang w:eastAsia="en-GB"/>
              </w:rPr>
              <w:t>2019-20 and 2020-21 for Highland</w:t>
            </w:r>
            <w:r>
              <w:rPr>
                <w:rFonts w:eastAsia="Times New Roman"/>
                <w:lang w:eastAsia="en-GB"/>
              </w:rPr>
              <w:t>:</w:t>
            </w:r>
            <w:r w:rsidR="00756DCB">
              <w:rPr>
                <w:rFonts w:eastAsia="Times New Roman"/>
                <w:lang w:eastAsia="en-GB"/>
              </w:rPr>
              <w:t>-</w:t>
            </w:r>
          </w:p>
          <w:p w:rsidR="00197EA5" w:rsidRDefault="00197EA5" w:rsidP="007135AE">
            <w:pPr>
              <w:contextualSpacing/>
              <w:rPr>
                <w:rFonts w:eastAsia="Times New Roman"/>
                <w:lang w:eastAsia="en-GB"/>
              </w:rPr>
            </w:pPr>
          </w:p>
          <w:tbl>
            <w:tblPr>
              <w:tblStyle w:val="TableGrid"/>
              <w:tblW w:w="0" w:type="auto"/>
              <w:jc w:val="center"/>
              <w:tblLayout w:type="fixed"/>
              <w:tblLook w:val="04A0" w:firstRow="1" w:lastRow="0" w:firstColumn="1" w:lastColumn="0" w:noHBand="0" w:noVBand="1"/>
            </w:tblPr>
            <w:tblGrid>
              <w:gridCol w:w="1267"/>
              <w:gridCol w:w="1791"/>
              <w:gridCol w:w="1796"/>
              <w:gridCol w:w="1469"/>
            </w:tblGrid>
            <w:tr w:rsidR="00F92D52" w:rsidTr="00756DCB">
              <w:trPr>
                <w:jc w:val="center"/>
              </w:trPr>
              <w:tc>
                <w:tcPr>
                  <w:tcW w:w="1267" w:type="dxa"/>
                </w:tcPr>
                <w:p w:rsidR="00F92D52" w:rsidRPr="0015034F" w:rsidRDefault="00F92D52" w:rsidP="007135AE">
                  <w:pPr>
                    <w:contextualSpacing/>
                    <w:rPr>
                      <w:rFonts w:eastAsia="Times New Roman"/>
                      <w:b/>
                      <w:lang w:eastAsia="en-GB"/>
                    </w:rPr>
                  </w:pPr>
                  <w:r w:rsidRPr="0015034F">
                    <w:rPr>
                      <w:rFonts w:eastAsia="Times New Roman"/>
                      <w:b/>
                      <w:lang w:eastAsia="en-GB"/>
                    </w:rPr>
                    <w:t xml:space="preserve">Year </w:t>
                  </w:r>
                </w:p>
              </w:tc>
              <w:tc>
                <w:tcPr>
                  <w:tcW w:w="1791" w:type="dxa"/>
                </w:tcPr>
                <w:p w:rsidR="00F92D52" w:rsidRPr="0015034F" w:rsidRDefault="00F92D52" w:rsidP="007135AE">
                  <w:pPr>
                    <w:contextualSpacing/>
                    <w:rPr>
                      <w:rFonts w:eastAsia="Times New Roman"/>
                      <w:b/>
                      <w:lang w:eastAsia="en-GB"/>
                    </w:rPr>
                  </w:pPr>
                  <w:r w:rsidRPr="0015034F">
                    <w:rPr>
                      <w:rFonts w:eastAsia="Times New Roman"/>
                      <w:b/>
                      <w:lang w:eastAsia="en-GB"/>
                    </w:rPr>
                    <w:t xml:space="preserve">Mainstream Investment </w:t>
                  </w:r>
                </w:p>
                <w:p w:rsidR="00F92D52" w:rsidRPr="0015034F" w:rsidRDefault="00F92D52" w:rsidP="007135AE">
                  <w:pPr>
                    <w:contextualSpacing/>
                    <w:rPr>
                      <w:rFonts w:eastAsia="Times New Roman"/>
                      <w:b/>
                      <w:lang w:eastAsia="en-GB"/>
                    </w:rPr>
                  </w:pPr>
                </w:p>
              </w:tc>
              <w:tc>
                <w:tcPr>
                  <w:tcW w:w="1796" w:type="dxa"/>
                </w:tcPr>
                <w:p w:rsidR="00F92D52" w:rsidRDefault="00F92D52" w:rsidP="007135AE">
                  <w:pPr>
                    <w:contextualSpacing/>
                    <w:rPr>
                      <w:rFonts w:eastAsia="Times New Roman"/>
                      <w:b/>
                      <w:lang w:eastAsia="en-GB"/>
                    </w:rPr>
                  </w:pPr>
                  <w:r>
                    <w:rPr>
                      <w:rFonts w:eastAsia="Times New Roman"/>
                      <w:b/>
                      <w:lang w:eastAsia="en-GB"/>
                    </w:rPr>
                    <w:t xml:space="preserve">Aids and Adaptations </w:t>
                  </w:r>
                </w:p>
                <w:p w:rsidR="00F92D52" w:rsidRPr="0015034F" w:rsidRDefault="00F92D52" w:rsidP="0015034F">
                  <w:pPr>
                    <w:rPr>
                      <w:rFonts w:eastAsia="Times New Roman"/>
                      <w:b/>
                      <w:lang w:eastAsia="en-GB"/>
                    </w:rPr>
                  </w:pPr>
                </w:p>
              </w:tc>
              <w:tc>
                <w:tcPr>
                  <w:tcW w:w="1469" w:type="dxa"/>
                </w:tcPr>
                <w:p w:rsidR="00F92D52" w:rsidRPr="0015034F" w:rsidRDefault="00F92D52" w:rsidP="007135AE">
                  <w:pPr>
                    <w:contextualSpacing/>
                    <w:rPr>
                      <w:rFonts w:eastAsia="Times New Roman"/>
                      <w:b/>
                      <w:lang w:eastAsia="en-GB"/>
                    </w:rPr>
                  </w:pPr>
                  <w:r>
                    <w:rPr>
                      <w:rFonts w:eastAsia="Times New Roman"/>
                      <w:b/>
                      <w:lang w:eastAsia="en-GB"/>
                    </w:rPr>
                    <w:t xml:space="preserve">Total </w:t>
                  </w:r>
                </w:p>
              </w:tc>
            </w:tr>
            <w:tr w:rsidR="00F92D52" w:rsidTr="00756DCB">
              <w:trPr>
                <w:jc w:val="center"/>
              </w:trPr>
              <w:tc>
                <w:tcPr>
                  <w:tcW w:w="1267" w:type="dxa"/>
                </w:tcPr>
                <w:p w:rsidR="00F92D52" w:rsidRDefault="00F92D52" w:rsidP="007135AE">
                  <w:pPr>
                    <w:contextualSpacing/>
                    <w:rPr>
                      <w:rFonts w:eastAsia="Times New Roman"/>
                      <w:lang w:eastAsia="en-GB"/>
                    </w:rPr>
                  </w:pPr>
                  <w:r>
                    <w:rPr>
                      <w:rFonts w:eastAsia="Times New Roman"/>
                      <w:lang w:eastAsia="en-GB"/>
                    </w:rPr>
                    <w:t>2019/20</w:t>
                  </w:r>
                </w:p>
              </w:tc>
              <w:tc>
                <w:tcPr>
                  <w:tcW w:w="1791" w:type="dxa"/>
                </w:tcPr>
                <w:p w:rsidR="00F92D52" w:rsidRDefault="00F92D52" w:rsidP="00926987">
                  <w:pPr>
                    <w:contextualSpacing/>
                    <w:rPr>
                      <w:rFonts w:eastAsia="Times New Roman"/>
                      <w:lang w:eastAsia="en-GB"/>
                    </w:rPr>
                  </w:pPr>
                  <w:r>
                    <w:rPr>
                      <w:rFonts w:eastAsia="Times New Roman"/>
                      <w:lang w:eastAsia="en-GB"/>
                    </w:rPr>
                    <w:t>£13,232m</w:t>
                  </w:r>
                </w:p>
              </w:tc>
              <w:tc>
                <w:tcPr>
                  <w:tcW w:w="1796" w:type="dxa"/>
                </w:tcPr>
                <w:p w:rsidR="00F92D52" w:rsidRDefault="00F92D52" w:rsidP="00926987">
                  <w:pPr>
                    <w:contextualSpacing/>
                    <w:rPr>
                      <w:rFonts w:eastAsia="Times New Roman"/>
                      <w:lang w:eastAsia="en-GB"/>
                    </w:rPr>
                  </w:pPr>
                  <w:r>
                    <w:rPr>
                      <w:rFonts w:eastAsia="Times New Roman"/>
                      <w:lang w:eastAsia="en-GB"/>
                    </w:rPr>
                    <w:t>£1m</w:t>
                  </w:r>
                </w:p>
              </w:tc>
              <w:tc>
                <w:tcPr>
                  <w:tcW w:w="1469" w:type="dxa"/>
                </w:tcPr>
                <w:p w:rsidR="00F92D52" w:rsidRDefault="00435F2F" w:rsidP="00B00C5E">
                  <w:pPr>
                    <w:contextualSpacing/>
                    <w:rPr>
                      <w:rFonts w:eastAsia="Times New Roman"/>
                      <w:lang w:eastAsia="en-GB"/>
                    </w:rPr>
                  </w:pPr>
                  <w:r>
                    <w:rPr>
                      <w:rFonts w:eastAsia="Times New Roman"/>
                      <w:lang w:eastAsia="en-GB"/>
                    </w:rPr>
                    <w:t>£14,232m</w:t>
                  </w:r>
                </w:p>
              </w:tc>
            </w:tr>
            <w:tr w:rsidR="00F92D52" w:rsidTr="00756DCB">
              <w:trPr>
                <w:jc w:val="center"/>
              </w:trPr>
              <w:tc>
                <w:tcPr>
                  <w:tcW w:w="1267" w:type="dxa"/>
                </w:tcPr>
                <w:p w:rsidR="00F92D52" w:rsidRDefault="00F92D52" w:rsidP="007135AE">
                  <w:pPr>
                    <w:contextualSpacing/>
                    <w:rPr>
                      <w:rFonts w:eastAsia="Times New Roman"/>
                      <w:lang w:eastAsia="en-GB"/>
                    </w:rPr>
                  </w:pPr>
                  <w:r>
                    <w:rPr>
                      <w:rFonts w:eastAsia="Times New Roman"/>
                      <w:lang w:eastAsia="en-GB"/>
                    </w:rPr>
                    <w:t>2020/21</w:t>
                  </w:r>
                </w:p>
              </w:tc>
              <w:tc>
                <w:tcPr>
                  <w:tcW w:w="1791" w:type="dxa"/>
                </w:tcPr>
                <w:p w:rsidR="00F92D52" w:rsidRDefault="00F92D52" w:rsidP="00926987">
                  <w:pPr>
                    <w:contextualSpacing/>
                    <w:rPr>
                      <w:rFonts w:eastAsia="Times New Roman"/>
                      <w:lang w:eastAsia="en-GB"/>
                    </w:rPr>
                  </w:pPr>
                  <w:r>
                    <w:rPr>
                      <w:rFonts w:eastAsia="Times New Roman"/>
                      <w:lang w:eastAsia="en-GB"/>
                    </w:rPr>
                    <w:t>£13,893m</w:t>
                  </w:r>
                </w:p>
              </w:tc>
              <w:tc>
                <w:tcPr>
                  <w:tcW w:w="1796" w:type="dxa"/>
                </w:tcPr>
                <w:p w:rsidR="00F92D52" w:rsidRDefault="00F92D52" w:rsidP="00926987">
                  <w:pPr>
                    <w:contextualSpacing/>
                    <w:rPr>
                      <w:rFonts w:eastAsia="Times New Roman"/>
                      <w:lang w:eastAsia="en-GB"/>
                    </w:rPr>
                  </w:pPr>
                  <w:r>
                    <w:rPr>
                      <w:rFonts w:eastAsia="Times New Roman"/>
                      <w:lang w:eastAsia="en-GB"/>
                    </w:rPr>
                    <w:t>£1m</w:t>
                  </w:r>
                </w:p>
              </w:tc>
              <w:tc>
                <w:tcPr>
                  <w:tcW w:w="1469" w:type="dxa"/>
                </w:tcPr>
                <w:p w:rsidR="00F92D52" w:rsidRDefault="00435F2F" w:rsidP="00B00C5E">
                  <w:pPr>
                    <w:contextualSpacing/>
                    <w:rPr>
                      <w:rFonts w:eastAsia="Times New Roman"/>
                      <w:lang w:eastAsia="en-GB"/>
                    </w:rPr>
                  </w:pPr>
                  <w:r>
                    <w:rPr>
                      <w:rFonts w:eastAsia="Times New Roman"/>
                      <w:lang w:eastAsia="en-GB"/>
                    </w:rPr>
                    <w:t>£14,893m</w:t>
                  </w:r>
                </w:p>
              </w:tc>
            </w:tr>
          </w:tbl>
          <w:p w:rsidR="005477EA" w:rsidRDefault="005477EA" w:rsidP="005477EA">
            <w:pPr>
              <w:rPr>
                <w:rFonts w:eastAsia="Times New Roman"/>
                <w:lang w:eastAsia="en-GB"/>
              </w:rPr>
            </w:pPr>
          </w:p>
          <w:p w:rsidR="005477EA" w:rsidRPr="005477EA" w:rsidRDefault="005477EA" w:rsidP="005477EA">
            <w:pPr>
              <w:rPr>
                <w:rFonts w:eastAsia="Times New Roman"/>
                <w:lang w:eastAsia="en-GB"/>
              </w:rPr>
            </w:pPr>
          </w:p>
        </w:tc>
      </w:tr>
      <w:tr w:rsidR="005477EA" w:rsidRPr="007135AE" w:rsidTr="00735A47">
        <w:tc>
          <w:tcPr>
            <w:tcW w:w="709" w:type="dxa"/>
          </w:tcPr>
          <w:p w:rsidR="005477EA" w:rsidRPr="00735A47" w:rsidRDefault="00435F2F" w:rsidP="001E737E">
            <w:pPr>
              <w:rPr>
                <w:rFonts w:eastAsia="Times New Roman"/>
                <w:lang w:eastAsia="en-GB"/>
              </w:rPr>
            </w:pPr>
            <w:r>
              <w:rPr>
                <w:rFonts w:eastAsia="Times New Roman"/>
                <w:lang w:eastAsia="en-GB"/>
              </w:rPr>
              <w:t>4.7</w:t>
            </w:r>
          </w:p>
        </w:tc>
        <w:tc>
          <w:tcPr>
            <w:tcW w:w="9498" w:type="dxa"/>
          </w:tcPr>
          <w:p w:rsidR="005477EA" w:rsidRDefault="005477EA" w:rsidP="005477EA">
            <w:pPr>
              <w:pStyle w:val="Default"/>
              <w:jc w:val="both"/>
            </w:pPr>
            <w:r w:rsidRPr="00574D8E">
              <w:t xml:space="preserve">This funding is based on a number of assumptions including estimated capital borrowing costs. </w:t>
            </w:r>
            <w:r w:rsidR="00756DCB">
              <w:t xml:space="preserve"> </w:t>
            </w:r>
            <w:r w:rsidRPr="00574D8E">
              <w:t xml:space="preserve">Loan Charges for all borrowing used to fund HRA capital </w:t>
            </w:r>
            <w:proofErr w:type="gramStart"/>
            <w:r w:rsidRPr="00574D8E">
              <w:t>investment are</w:t>
            </w:r>
            <w:proofErr w:type="gramEnd"/>
            <w:r w:rsidRPr="00574D8E">
              <w:t xml:space="preserve"> funded through HRA Revenue. </w:t>
            </w:r>
          </w:p>
          <w:p w:rsidR="005477EA" w:rsidRDefault="005477EA" w:rsidP="007135AE">
            <w:pPr>
              <w:contextualSpacing/>
              <w:rPr>
                <w:rFonts w:eastAsia="Times New Roman"/>
                <w:lang w:eastAsia="en-GB"/>
              </w:rPr>
            </w:pPr>
          </w:p>
        </w:tc>
      </w:tr>
      <w:tr w:rsidR="005477EA" w:rsidRPr="007135AE" w:rsidTr="00735A47">
        <w:tc>
          <w:tcPr>
            <w:tcW w:w="709" w:type="dxa"/>
          </w:tcPr>
          <w:p w:rsidR="005477EA" w:rsidRPr="00735A47" w:rsidRDefault="00435F2F" w:rsidP="001E737E">
            <w:pPr>
              <w:rPr>
                <w:rFonts w:eastAsia="Times New Roman"/>
                <w:lang w:eastAsia="en-GB"/>
              </w:rPr>
            </w:pPr>
            <w:r>
              <w:rPr>
                <w:rFonts w:eastAsia="Times New Roman"/>
                <w:lang w:eastAsia="en-GB"/>
              </w:rPr>
              <w:t>4.8</w:t>
            </w:r>
          </w:p>
        </w:tc>
        <w:tc>
          <w:tcPr>
            <w:tcW w:w="9498" w:type="dxa"/>
          </w:tcPr>
          <w:p w:rsidR="005477EA" w:rsidRPr="00574D8E" w:rsidRDefault="005477EA" w:rsidP="005477EA">
            <w:pPr>
              <w:pStyle w:val="Default"/>
              <w:jc w:val="both"/>
            </w:pPr>
            <w:r w:rsidRPr="00574D8E">
              <w:t xml:space="preserve">We will continue to produce detailed revenue estimates and update projections annually, but at this stage the level of investment required appears manageable within HRA projections. </w:t>
            </w:r>
          </w:p>
          <w:p w:rsidR="005477EA" w:rsidRDefault="005477EA" w:rsidP="007135AE">
            <w:pPr>
              <w:contextualSpacing/>
              <w:rPr>
                <w:rFonts w:eastAsia="Times New Roman"/>
                <w:lang w:eastAsia="en-GB"/>
              </w:rPr>
            </w:pPr>
          </w:p>
        </w:tc>
      </w:tr>
      <w:tr w:rsidR="00810502" w:rsidRPr="007135AE" w:rsidTr="00735A47">
        <w:tc>
          <w:tcPr>
            <w:tcW w:w="709" w:type="dxa"/>
          </w:tcPr>
          <w:p w:rsidR="00810502" w:rsidRPr="00735A47" w:rsidRDefault="00756DCB" w:rsidP="001E737E">
            <w:pPr>
              <w:rPr>
                <w:rFonts w:eastAsia="Times New Roman"/>
                <w:lang w:eastAsia="en-GB"/>
              </w:rPr>
            </w:pPr>
            <w:r>
              <w:rPr>
                <w:rFonts w:eastAsia="Times New Roman"/>
                <w:lang w:eastAsia="en-GB"/>
              </w:rPr>
              <w:t>4.9</w:t>
            </w:r>
          </w:p>
        </w:tc>
        <w:tc>
          <w:tcPr>
            <w:tcW w:w="9498" w:type="dxa"/>
          </w:tcPr>
          <w:p w:rsidR="00810502" w:rsidRPr="00756DCB" w:rsidRDefault="00435F2F" w:rsidP="00810502">
            <w:pPr>
              <w:pStyle w:val="Default"/>
              <w:jc w:val="both"/>
            </w:pPr>
            <w:r w:rsidRPr="00756DCB">
              <w:t>Funding allocations for 2019-20 and 2020-21</w:t>
            </w:r>
            <w:r w:rsidR="00810502" w:rsidRPr="00756DCB">
              <w:t xml:space="preserve"> at a local Committee level are identified at </w:t>
            </w:r>
            <w:r w:rsidR="00810502" w:rsidRPr="00756DCB">
              <w:rPr>
                <w:b/>
                <w:bCs/>
              </w:rPr>
              <w:t xml:space="preserve">Appendix 1 </w:t>
            </w:r>
            <w:r w:rsidR="00810502" w:rsidRPr="00756DCB">
              <w:t xml:space="preserve">of this report. </w:t>
            </w:r>
            <w:r w:rsidR="00756DCB">
              <w:t xml:space="preserve"> </w:t>
            </w:r>
            <w:r w:rsidR="00810502" w:rsidRPr="00756DCB">
              <w:t>These are based on the financial assumptions in the HRA Capital Plan 2016-2021.</w:t>
            </w:r>
          </w:p>
          <w:p w:rsidR="00810502" w:rsidRDefault="00810502" w:rsidP="007135AE">
            <w:pPr>
              <w:contextualSpacing/>
              <w:rPr>
                <w:rFonts w:eastAsia="Times New Roman"/>
                <w:lang w:eastAsia="en-GB"/>
              </w:rPr>
            </w:pPr>
          </w:p>
        </w:tc>
      </w:tr>
      <w:tr w:rsidR="00735A47" w:rsidRPr="007135AE" w:rsidTr="00735A47">
        <w:tc>
          <w:tcPr>
            <w:tcW w:w="709" w:type="dxa"/>
          </w:tcPr>
          <w:p w:rsidR="00735A47" w:rsidRPr="00125695" w:rsidRDefault="00926987" w:rsidP="00125695">
            <w:pPr>
              <w:rPr>
                <w:rFonts w:eastAsia="Times New Roman"/>
                <w:b/>
                <w:lang w:eastAsia="en-GB"/>
              </w:rPr>
            </w:pPr>
            <w:r>
              <w:rPr>
                <w:rFonts w:eastAsia="Times New Roman"/>
                <w:b/>
                <w:lang w:eastAsia="en-GB"/>
              </w:rPr>
              <w:t>5</w:t>
            </w:r>
          </w:p>
        </w:tc>
        <w:tc>
          <w:tcPr>
            <w:tcW w:w="9498" w:type="dxa"/>
          </w:tcPr>
          <w:p w:rsidR="00C84AF7" w:rsidRDefault="00435F2F" w:rsidP="00C84AF7">
            <w:pPr>
              <w:contextualSpacing/>
              <w:rPr>
                <w:rFonts w:eastAsia="Times New Roman"/>
                <w:b/>
                <w:lang w:eastAsia="en-GB"/>
              </w:rPr>
            </w:pPr>
            <w:r>
              <w:rPr>
                <w:rFonts w:eastAsia="Times New Roman"/>
                <w:b/>
                <w:lang w:eastAsia="en-GB"/>
              </w:rPr>
              <w:t>2019-20 and 2020-21</w:t>
            </w:r>
            <w:r w:rsidR="00C84AF7" w:rsidRPr="008C6886">
              <w:rPr>
                <w:rFonts w:eastAsia="Times New Roman"/>
                <w:b/>
                <w:lang w:eastAsia="en-GB"/>
              </w:rPr>
              <w:t xml:space="preserve"> Programme</w:t>
            </w:r>
            <w:r w:rsidR="00CC4355">
              <w:rPr>
                <w:rFonts w:eastAsia="Times New Roman"/>
                <w:b/>
                <w:lang w:eastAsia="en-GB"/>
              </w:rPr>
              <w:t>s</w:t>
            </w:r>
            <w:r w:rsidR="00C84AF7" w:rsidRPr="008C6886">
              <w:rPr>
                <w:rFonts w:eastAsia="Times New Roman"/>
                <w:b/>
                <w:lang w:eastAsia="en-GB"/>
              </w:rPr>
              <w:t xml:space="preserve"> </w:t>
            </w:r>
          </w:p>
          <w:p w:rsidR="001F1DCD" w:rsidRDefault="001F1DCD" w:rsidP="00125695">
            <w:pPr>
              <w:contextualSpacing/>
              <w:jc w:val="both"/>
              <w:rPr>
                <w:rFonts w:eastAsia="Times New Roman"/>
                <w:lang w:eastAsia="en-GB"/>
              </w:rPr>
            </w:pPr>
          </w:p>
        </w:tc>
      </w:tr>
      <w:tr w:rsidR="00125695" w:rsidRPr="007135AE" w:rsidTr="00735A47">
        <w:tc>
          <w:tcPr>
            <w:tcW w:w="709" w:type="dxa"/>
          </w:tcPr>
          <w:p w:rsidR="00125695" w:rsidRPr="00125695" w:rsidRDefault="00926987" w:rsidP="008966F2">
            <w:pPr>
              <w:rPr>
                <w:rFonts w:eastAsia="Times New Roman"/>
                <w:lang w:eastAsia="en-GB"/>
              </w:rPr>
            </w:pPr>
            <w:r>
              <w:rPr>
                <w:rFonts w:eastAsia="Times New Roman"/>
                <w:lang w:eastAsia="en-GB"/>
              </w:rPr>
              <w:t>5</w:t>
            </w:r>
            <w:r w:rsidR="00125695" w:rsidRPr="00125695">
              <w:rPr>
                <w:rFonts w:eastAsia="Times New Roman"/>
                <w:lang w:eastAsia="en-GB"/>
              </w:rPr>
              <w:t>.1</w:t>
            </w:r>
          </w:p>
        </w:tc>
        <w:tc>
          <w:tcPr>
            <w:tcW w:w="9498" w:type="dxa"/>
          </w:tcPr>
          <w:p w:rsidR="00125695" w:rsidRDefault="00C335A4" w:rsidP="00756DCB">
            <w:pPr>
              <w:contextualSpacing/>
              <w:jc w:val="both"/>
              <w:rPr>
                <w:rFonts w:eastAsia="Times New Roman"/>
                <w:lang w:eastAsia="en-GB"/>
              </w:rPr>
            </w:pPr>
            <w:r>
              <w:rPr>
                <w:rFonts w:eastAsia="Times New Roman"/>
                <w:lang w:eastAsia="en-GB"/>
              </w:rPr>
              <w:t>Proposals for the 2019-20 and 2020-21</w:t>
            </w:r>
            <w:r w:rsidR="00125695">
              <w:rPr>
                <w:rFonts w:eastAsia="Times New Roman"/>
                <w:lang w:eastAsia="en-GB"/>
              </w:rPr>
              <w:t xml:space="preserve"> Programme</w:t>
            </w:r>
            <w:r>
              <w:rPr>
                <w:rFonts w:eastAsia="Times New Roman"/>
                <w:lang w:eastAsia="en-GB"/>
              </w:rPr>
              <w:t>s</w:t>
            </w:r>
            <w:r w:rsidR="00125695">
              <w:rPr>
                <w:rFonts w:eastAsia="Times New Roman"/>
                <w:lang w:eastAsia="en-GB"/>
              </w:rPr>
              <w:t xml:space="preserve"> are detailed in </w:t>
            </w:r>
            <w:r w:rsidR="00125695">
              <w:rPr>
                <w:rFonts w:eastAsia="Times New Roman"/>
                <w:b/>
                <w:lang w:eastAsia="en-GB"/>
              </w:rPr>
              <w:t>Appendix 2</w:t>
            </w:r>
            <w:r w:rsidR="00125695">
              <w:rPr>
                <w:rFonts w:eastAsia="Times New Roman"/>
                <w:lang w:eastAsia="en-GB"/>
              </w:rPr>
              <w:t>.</w:t>
            </w:r>
          </w:p>
          <w:p w:rsidR="00125695" w:rsidRPr="008C6886" w:rsidRDefault="00125695" w:rsidP="00125695">
            <w:pPr>
              <w:contextualSpacing/>
              <w:jc w:val="both"/>
              <w:rPr>
                <w:rFonts w:eastAsia="Times New Roman"/>
                <w:b/>
                <w:lang w:eastAsia="en-GB"/>
              </w:rPr>
            </w:pPr>
          </w:p>
        </w:tc>
      </w:tr>
      <w:tr w:rsidR="005477EA" w:rsidRPr="007135AE" w:rsidTr="00735A47">
        <w:tc>
          <w:tcPr>
            <w:tcW w:w="709" w:type="dxa"/>
          </w:tcPr>
          <w:p w:rsidR="005477EA" w:rsidRPr="005477EA" w:rsidRDefault="00926987" w:rsidP="008966F2">
            <w:pPr>
              <w:rPr>
                <w:rFonts w:eastAsia="Times New Roman"/>
                <w:lang w:eastAsia="en-GB"/>
              </w:rPr>
            </w:pPr>
            <w:r>
              <w:rPr>
                <w:rFonts w:eastAsia="Times New Roman"/>
                <w:lang w:eastAsia="en-GB"/>
              </w:rPr>
              <w:t>5</w:t>
            </w:r>
            <w:r w:rsidR="005477EA" w:rsidRPr="005477EA">
              <w:rPr>
                <w:rFonts w:eastAsia="Times New Roman"/>
                <w:lang w:eastAsia="en-GB"/>
              </w:rPr>
              <w:t>.2</w:t>
            </w:r>
          </w:p>
        </w:tc>
        <w:tc>
          <w:tcPr>
            <w:tcW w:w="9498" w:type="dxa"/>
          </w:tcPr>
          <w:p w:rsidR="00890327" w:rsidRDefault="00125695" w:rsidP="00495A88">
            <w:pPr>
              <w:contextualSpacing/>
              <w:jc w:val="both"/>
              <w:rPr>
                <w:rFonts w:eastAsia="Times New Roman"/>
                <w:lang w:eastAsia="en-GB"/>
              </w:rPr>
            </w:pPr>
            <w:r>
              <w:rPr>
                <w:rFonts w:eastAsia="Times New Roman"/>
                <w:lang w:eastAsia="en-GB"/>
              </w:rPr>
              <w:t>A</w:t>
            </w:r>
            <w:r w:rsidR="005477EA">
              <w:rPr>
                <w:rFonts w:eastAsia="Times New Roman"/>
                <w:lang w:eastAsia="en-GB"/>
              </w:rPr>
              <w:t xml:space="preserve"> key feature of developing the programme</w:t>
            </w:r>
            <w:r w:rsidR="00C335A4">
              <w:rPr>
                <w:rFonts w:eastAsia="Times New Roman"/>
                <w:lang w:eastAsia="en-GB"/>
              </w:rPr>
              <w:t>s</w:t>
            </w:r>
            <w:r w:rsidR="00CC4355">
              <w:rPr>
                <w:rFonts w:eastAsia="Times New Roman"/>
                <w:lang w:eastAsia="en-GB"/>
              </w:rPr>
              <w:t xml:space="preserve"> for 2019-20 and 2020-21</w:t>
            </w:r>
            <w:r w:rsidR="005477EA">
              <w:rPr>
                <w:rFonts w:eastAsia="Times New Roman"/>
                <w:lang w:eastAsia="en-GB"/>
              </w:rPr>
              <w:t xml:space="preserve"> </w:t>
            </w:r>
            <w:r>
              <w:rPr>
                <w:rFonts w:eastAsia="Times New Roman"/>
                <w:lang w:eastAsia="en-GB"/>
              </w:rPr>
              <w:t>has been</w:t>
            </w:r>
            <w:r w:rsidR="005477EA">
              <w:rPr>
                <w:rFonts w:eastAsia="Times New Roman"/>
                <w:lang w:eastAsia="en-GB"/>
              </w:rPr>
              <w:t xml:space="preserve"> identifying individual area priorities through discussion with </w:t>
            </w:r>
            <w:r w:rsidR="00890327">
              <w:rPr>
                <w:rFonts w:eastAsia="Times New Roman"/>
                <w:lang w:eastAsia="en-GB"/>
              </w:rPr>
              <w:t xml:space="preserve">Members, </w:t>
            </w:r>
            <w:r w:rsidR="005477EA">
              <w:rPr>
                <w:rFonts w:eastAsia="Times New Roman"/>
                <w:lang w:eastAsia="en-GB"/>
              </w:rPr>
              <w:t>local maintenance teams and tenants</w:t>
            </w:r>
            <w:r>
              <w:rPr>
                <w:rFonts w:eastAsia="Times New Roman"/>
                <w:lang w:eastAsia="en-GB"/>
              </w:rPr>
              <w:t>.</w:t>
            </w:r>
            <w:r w:rsidR="008C281A">
              <w:rPr>
                <w:rFonts w:eastAsia="Times New Roman"/>
                <w:lang w:eastAsia="en-GB"/>
              </w:rPr>
              <w:t xml:space="preserve"> </w:t>
            </w:r>
            <w:r w:rsidR="00756DCB">
              <w:rPr>
                <w:rFonts w:eastAsia="Times New Roman"/>
                <w:lang w:eastAsia="en-GB"/>
              </w:rPr>
              <w:t xml:space="preserve"> </w:t>
            </w:r>
            <w:r w:rsidR="008C281A">
              <w:rPr>
                <w:rFonts w:eastAsia="Times New Roman"/>
                <w:lang w:eastAsia="en-GB"/>
              </w:rPr>
              <w:t xml:space="preserve">Priorities have been identified for the </w:t>
            </w:r>
            <w:r w:rsidR="003E5B1C">
              <w:rPr>
                <w:rFonts w:eastAsia="Times New Roman"/>
                <w:lang w:eastAsia="en-GB"/>
              </w:rPr>
              <w:t xml:space="preserve">Sutherland </w:t>
            </w:r>
            <w:r w:rsidR="00756DCB">
              <w:rPr>
                <w:rFonts w:eastAsia="Times New Roman"/>
                <w:lang w:eastAsia="en-GB"/>
              </w:rPr>
              <w:t>area, at a local level,</w:t>
            </w:r>
            <w:r w:rsidR="008C281A">
              <w:rPr>
                <w:rFonts w:eastAsia="Times New Roman"/>
                <w:lang w:eastAsia="en-GB"/>
              </w:rPr>
              <w:t xml:space="preserve"> with the projects defined within the programme</w:t>
            </w:r>
            <w:r w:rsidR="00CC4355">
              <w:rPr>
                <w:rFonts w:eastAsia="Times New Roman"/>
                <w:lang w:eastAsia="en-GB"/>
              </w:rPr>
              <w:t>s</w:t>
            </w:r>
            <w:r w:rsidR="008C281A">
              <w:rPr>
                <w:rFonts w:eastAsia="Times New Roman"/>
                <w:lang w:eastAsia="en-GB"/>
              </w:rPr>
              <w:t xml:space="preserve"> aimed at meeting the </w:t>
            </w:r>
            <w:r w:rsidR="00756DCB">
              <w:rPr>
                <w:rFonts w:eastAsia="Times New Roman"/>
                <w:lang w:eastAsia="en-GB"/>
              </w:rPr>
              <w:t>locally identified priorities</w:t>
            </w:r>
            <w:r w:rsidR="00CC4355">
              <w:rPr>
                <w:rFonts w:eastAsia="Times New Roman"/>
                <w:lang w:eastAsia="en-GB"/>
              </w:rPr>
              <w:t xml:space="preserve"> </w:t>
            </w:r>
            <w:r w:rsidR="008C281A">
              <w:rPr>
                <w:rFonts w:eastAsia="Times New Roman"/>
                <w:lang w:eastAsia="en-GB"/>
              </w:rPr>
              <w:t xml:space="preserve">in the context of </w:t>
            </w:r>
            <w:r w:rsidR="003E5B1C">
              <w:rPr>
                <w:rFonts w:eastAsia="Times New Roman"/>
                <w:lang w:eastAsia="en-GB"/>
              </w:rPr>
              <w:t>Sutherland</w:t>
            </w:r>
            <w:r w:rsidR="0042310B">
              <w:rPr>
                <w:rFonts w:eastAsia="Times New Roman"/>
                <w:lang w:eastAsia="en-GB"/>
              </w:rPr>
              <w:t xml:space="preserve">. </w:t>
            </w:r>
          </w:p>
          <w:p w:rsidR="00756DCB" w:rsidRPr="008C281A" w:rsidRDefault="00756DCB" w:rsidP="00495A88">
            <w:pPr>
              <w:contextualSpacing/>
              <w:jc w:val="both"/>
              <w:rPr>
                <w:rFonts w:eastAsia="Times New Roman"/>
                <w:lang w:eastAsia="en-GB"/>
              </w:rPr>
            </w:pPr>
          </w:p>
        </w:tc>
      </w:tr>
      <w:tr w:rsidR="00495A88" w:rsidRPr="007135AE" w:rsidTr="00735A47">
        <w:tc>
          <w:tcPr>
            <w:tcW w:w="709" w:type="dxa"/>
          </w:tcPr>
          <w:p w:rsidR="00495A88" w:rsidRDefault="00495A88" w:rsidP="008966F2">
            <w:pPr>
              <w:rPr>
                <w:rFonts w:eastAsia="Times New Roman"/>
                <w:lang w:eastAsia="en-GB"/>
              </w:rPr>
            </w:pPr>
            <w:r>
              <w:rPr>
                <w:rFonts w:eastAsia="Times New Roman"/>
                <w:lang w:eastAsia="en-GB"/>
              </w:rPr>
              <w:t>5.3</w:t>
            </w:r>
          </w:p>
        </w:tc>
        <w:tc>
          <w:tcPr>
            <w:tcW w:w="9498" w:type="dxa"/>
          </w:tcPr>
          <w:p w:rsidR="00495A88" w:rsidRDefault="00495A88" w:rsidP="004F68C5">
            <w:pPr>
              <w:contextualSpacing/>
              <w:jc w:val="both"/>
              <w:rPr>
                <w:rFonts w:eastAsia="Times New Roman"/>
                <w:lang w:eastAsia="en-GB"/>
              </w:rPr>
            </w:pPr>
            <w:r>
              <w:rPr>
                <w:rFonts w:eastAsia="Times New Roman"/>
                <w:lang w:eastAsia="en-GB"/>
              </w:rPr>
              <w:t>Members have been provided with specific project details and address list</w:t>
            </w:r>
            <w:r w:rsidR="00955051">
              <w:rPr>
                <w:rFonts w:eastAsia="Times New Roman"/>
                <w:lang w:eastAsia="en-GB"/>
              </w:rPr>
              <w:t>s</w:t>
            </w:r>
            <w:r>
              <w:rPr>
                <w:rFonts w:eastAsia="Times New Roman"/>
                <w:lang w:eastAsia="en-GB"/>
              </w:rPr>
              <w:t xml:space="preserve"> in advance of Committee for discussion/comment.   </w:t>
            </w:r>
          </w:p>
          <w:p w:rsidR="00756DCB" w:rsidRDefault="00756DCB" w:rsidP="004F68C5">
            <w:pPr>
              <w:contextualSpacing/>
              <w:jc w:val="both"/>
              <w:rPr>
                <w:rFonts w:eastAsia="Times New Roman"/>
                <w:lang w:eastAsia="en-GB"/>
              </w:rPr>
            </w:pPr>
          </w:p>
        </w:tc>
      </w:tr>
      <w:tr w:rsidR="005477EA" w:rsidRPr="007135AE" w:rsidTr="00735A47">
        <w:tc>
          <w:tcPr>
            <w:tcW w:w="709" w:type="dxa"/>
          </w:tcPr>
          <w:p w:rsidR="005477EA" w:rsidRPr="005477EA" w:rsidRDefault="00926987" w:rsidP="008966F2">
            <w:pPr>
              <w:rPr>
                <w:rFonts w:eastAsia="Times New Roman"/>
                <w:lang w:eastAsia="en-GB"/>
              </w:rPr>
            </w:pPr>
            <w:r>
              <w:rPr>
                <w:rFonts w:eastAsia="Times New Roman"/>
                <w:lang w:eastAsia="en-GB"/>
              </w:rPr>
              <w:t>5</w:t>
            </w:r>
            <w:r w:rsidR="00495A88">
              <w:rPr>
                <w:rFonts w:eastAsia="Times New Roman"/>
                <w:lang w:eastAsia="en-GB"/>
              </w:rPr>
              <w:t>.4</w:t>
            </w:r>
          </w:p>
        </w:tc>
        <w:tc>
          <w:tcPr>
            <w:tcW w:w="9498" w:type="dxa"/>
          </w:tcPr>
          <w:p w:rsidR="005477EA" w:rsidRDefault="005477EA" w:rsidP="005477EA">
            <w:pPr>
              <w:contextualSpacing/>
              <w:jc w:val="both"/>
              <w:rPr>
                <w:rFonts w:eastAsia="Times New Roman"/>
                <w:lang w:eastAsia="en-GB"/>
              </w:rPr>
            </w:pPr>
            <w:r>
              <w:rPr>
                <w:rFonts w:eastAsia="Times New Roman"/>
                <w:lang w:eastAsia="en-GB"/>
              </w:rPr>
              <w:t xml:space="preserve">Members will continue to be updated on </w:t>
            </w:r>
            <w:r w:rsidR="00ED1D14">
              <w:rPr>
                <w:rFonts w:eastAsia="Times New Roman"/>
                <w:lang w:eastAsia="en-GB"/>
              </w:rPr>
              <w:t xml:space="preserve">progress against </w:t>
            </w:r>
            <w:r w:rsidR="00125695">
              <w:rPr>
                <w:rFonts w:eastAsia="Times New Roman"/>
                <w:lang w:eastAsia="en-GB"/>
              </w:rPr>
              <w:t xml:space="preserve">the </w:t>
            </w:r>
            <w:r w:rsidR="00C335A4">
              <w:rPr>
                <w:rFonts w:eastAsia="Times New Roman"/>
                <w:lang w:eastAsia="en-GB"/>
              </w:rPr>
              <w:t>current year</w:t>
            </w:r>
            <w:r w:rsidR="00125695">
              <w:rPr>
                <w:rFonts w:eastAsia="Times New Roman"/>
                <w:lang w:eastAsia="en-GB"/>
              </w:rPr>
              <w:t xml:space="preserve"> </w:t>
            </w:r>
            <w:r>
              <w:rPr>
                <w:rFonts w:eastAsia="Times New Roman"/>
                <w:lang w:eastAsia="en-GB"/>
              </w:rPr>
              <w:t>programme</w:t>
            </w:r>
            <w:r w:rsidR="000900FA">
              <w:rPr>
                <w:rFonts w:eastAsia="Times New Roman"/>
                <w:lang w:eastAsia="en-GB"/>
              </w:rPr>
              <w:t>,</w:t>
            </w:r>
            <w:r w:rsidR="00954705">
              <w:rPr>
                <w:rFonts w:eastAsia="Times New Roman"/>
                <w:lang w:eastAsia="en-GB"/>
              </w:rPr>
              <w:t xml:space="preserve"> along</w:t>
            </w:r>
            <w:r w:rsidR="000900FA">
              <w:rPr>
                <w:rFonts w:eastAsia="Times New Roman"/>
                <w:lang w:eastAsia="en-GB"/>
              </w:rPr>
              <w:t xml:space="preserve"> with address lists,</w:t>
            </w:r>
            <w:r>
              <w:rPr>
                <w:rFonts w:eastAsia="Times New Roman"/>
                <w:lang w:eastAsia="en-GB"/>
              </w:rPr>
              <w:t xml:space="preserve"> through </w:t>
            </w:r>
            <w:r w:rsidR="000900FA">
              <w:rPr>
                <w:rFonts w:eastAsia="Times New Roman"/>
                <w:lang w:eastAsia="en-GB"/>
              </w:rPr>
              <w:t xml:space="preserve">future </w:t>
            </w:r>
            <w:r>
              <w:rPr>
                <w:rFonts w:eastAsia="Times New Roman"/>
                <w:lang w:eastAsia="en-GB"/>
              </w:rPr>
              <w:t xml:space="preserve">ward business </w:t>
            </w:r>
            <w:r w:rsidR="00125695">
              <w:rPr>
                <w:rFonts w:eastAsia="Times New Roman"/>
                <w:lang w:eastAsia="en-GB"/>
              </w:rPr>
              <w:t xml:space="preserve">meeting </w:t>
            </w:r>
            <w:r w:rsidR="000900FA">
              <w:rPr>
                <w:rFonts w:eastAsia="Times New Roman"/>
                <w:lang w:eastAsia="en-GB"/>
              </w:rPr>
              <w:t xml:space="preserve">updates. </w:t>
            </w:r>
          </w:p>
          <w:p w:rsidR="005477EA" w:rsidRPr="008C6886" w:rsidRDefault="005477EA" w:rsidP="00C84AF7">
            <w:pPr>
              <w:contextualSpacing/>
              <w:rPr>
                <w:rFonts w:eastAsia="Times New Roman"/>
                <w:b/>
                <w:lang w:eastAsia="en-GB"/>
              </w:rPr>
            </w:pPr>
          </w:p>
        </w:tc>
      </w:tr>
      <w:tr w:rsidR="00735A47" w:rsidRPr="00735A47" w:rsidTr="00735A47">
        <w:tc>
          <w:tcPr>
            <w:tcW w:w="709" w:type="dxa"/>
          </w:tcPr>
          <w:p w:rsidR="00735A47" w:rsidRPr="00735A47" w:rsidRDefault="00926987" w:rsidP="001E737E">
            <w:pPr>
              <w:rPr>
                <w:rFonts w:eastAsia="Times New Roman"/>
                <w:b/>
                <w:lang w:eastAsia="en-GB"/>
              </w:rPr>
            </w:pPr>
            <w:r>
              <w:rPr>
                <w:rFonts w:eastAsia="Times New Roman"/>
                <w:b/>
                <w:lang w:eastAsia="en-GB"/>
              </w:rPr>
              <w:t>6</w:t>
            </w:r>
          </w:p>
        </w:tc>
        <w:tc>
          <w:tcPr>
            <w:tcW w:w="9498" w:type="dxa"/>
          </w:tcPr>
          <w:p w:rsidR="00735A47" w:rsidRDefault="00735A47" w:rsidP="007135AE">
            <w:pPr>
              <w:contextualSpacing/>
              <w:rPr>
                <w:rFonts w:eastAsia="Times New Roman"/>
                <w:b/>
                <w:lang w:eastAsia="en-GB"/>
              </w:rPr>
            </w:pPr>
            <w:r w:rsidRPr="00735A47">
              <w:rPr>
                <w:rFonts w:eastAsia="Times New Roman"/>
                <w:b/>
                <w:lang w:eastAsia="en-GB"/>
              </w:rPr>
              <w:t>Implications</w:t>
            </w:r>
          </w:p>
          <w:p w:rsidR="00735A47" w:rsidRPr="00735A47" w:rsidRDefault="00735A47" w:rsidP="007135AE">
            <w:pPr>
              <w:contextualSpacing/>
              <w:rPr>
                <w:rFonts w:eastAsia="Times New Roman"/>
                <w:b/>
                <w:lang w:eastAsia="en-GB"/>
              </w:rPr>
            </w:pPr>
          </w:p>
        </w:tc>
      </w:tr>
      <w:tr w:rsidR="00735A47" w:rsidRPr="007135AE" w:rsidTr="00735A47">
        <w:tc>
          <w:tcPr>
            <w:tcW w:w="709" w:type="dxa"/>
          </w:tcPr>
          <w:p w:rsidR="00735A47" w:rsidRPr="00735A47" w:rsidRDefault="00926987" w:rsidP="001E737E">
            <w:pPr>
              <w:rPr>
                <w:rFonts w:eastAsia="Times New Roman"/>
                <w:lang w:eastAsia="en-GB"/>
              </w:rPr>
            </w:pPr>
            <w:r>
              <w:rPr>
                <w:rFonts w:eastAsia="Times New Roman"/>
                <w:lang w:eastAsia="en-GB"/>
              </w:rPr>
              <w:t>6</w:t>
            </w:r>
            <w:r w:rsidR="001E737E">
              <w:rPr>
                <w:rFonts w:eastAsia="Times New Roman"/>
                <w:lang w:eastAsia="en-GB"/>
              </w:rPr>
              <w:t>.1</w:t>
            </w:r>
          </w:p>
        </w:tc>
        <w:tc>
          <w:tcPr>
            <w:tcW w:w="9498" w:type="dxa"/>
          </w:tcPr>
          <w:p w:rsidR="00735A47" w:rsidRDefault="00735A47" w:rsidP="007135AE">
            <w:pPr>
              <w:contextualSpacing/>
              <w:rPr>
                <w:rFonts w:eastAsia="Times New Roman"/>
                <w:lang w:eastAsia="en-GB"/>
              </w:rPr>
            </w:pPr>
            <w:r>
              <w:rPr>
                <w:rFonts w:eastAsia="Times New Roman"/>
                <w:lang w:eastAsia="en-GB"/>
              </w:rPr>
              <w:t>Resource</w:t>
            </w:r>
            <w:r w:rsidR="007E7E2D">
              <w:rPr>
                <w:rFonts w:eastAsia="Times New Roman"/>
                <w:lang w:eastAsia="en-GB"/>
              </w:rPr>
              <w:t xml:space="preserve"> – </w:t>
            </w:r>
            <w:r w:rsidR="00125695">
              <w:rPr>
                <w:rFonts w:eastAsia="Times New Roman"/>
                <w:lang w:eastAsia="en-GB"/>
              </w:rPr>
              <w:t>this is</w:t>
            </w:r>
            <w:r w:rsidR="00926987">
              <w:rPr>
                <w:rFonts w:eastAsia="Times New Roman"/>
                <w:lang w:eastAsia="en-GB"/>
              </w:rPr>
              <w:t xml:space="preserve"> discussed in the report.</w:t>
            </w:r>
          </w:p>
          <w:p w:rsidR="001F1DCD" w:rsidRDefault="001F1DCD" w:rsidP="007135AE">
            <w:pPr>
              <w:contextualSpacing/>
              <w:rPr>
                <w:rFonts w:eastAsia="Times New Roman"/>
                <w:lang w:eastAsia="en-GB"/>
              </w:rPr>
            </w:pPr>
          </w:p>
        </w:tc>
      </w:tr>
      <w:tr w:rsidR="00735A47" w:rsidRPr="007135AE" w:rsidTr="00735A47">
        <w:tc>
          <w:tcPr>
            <w:tcW w:w="709" w:type="dxa"/>
          </w:tcPr>
          <w:p w:rsidR="00735A47" w:rsidRPr="00735A47" w:rsidRDefault="00926987" w:rsidP="001E737E">
            <w:pPr>
              <w:rPr>
                <w:rFonts w:eastAsia="Times New Roman"/>
                <w:lang w:eastAsia="en-GB"/>
              </w:rPr>
            </w:pPr>
            <w:r>
              <w:rPr>
                <w:rFonts w:eastAsia="Times New Roman"/>
                <w:lang w:eastAsia="en-GB"/>
              </w:rPr>
              <w:t>6</w:t>
            </w:r>
            <w:r w:rsidR="001E737E">
              <w:rPr>
                <w:rFonts w:eastAsia="Times New Roman"/>
                <w:lang w:eastAsia="en-GB"/>
              </w:rPr>
              <w:t>.2</w:t>
            </w:r>
          </w:p>
        </w:tc>
        <w:tc>
          <w:tcPr>
            <w:tcW w:w="9498" w:type="dxa"/>
          </w:tcPr>
          <w:p w:rsidR="00735A47" w:rsidRDefault="00735A47" w:rsidP="007135AE">
            <w:pPr>
              <w:contextualSpacing/>
              <w:rPr>
                <w:rFonts w:eastAsia="Times New Roman"/>
                <w:lang w:eastAsia="en-GB"/>
              </w:rPr>
            </w:pPr>
            <w:r>
              <w:rPr>
                <w:rFonts w:eastAsia="Times New Roman"/>
                <w:lang w:eastAsia="en-GB"/>
              </w:rPr>
              <w:t>Legal</w:t>
            </w:r>
            <w:r w:rsidR="007E7E2D">
              <w:rPr>
                <w:rFonts w:eastAsia="Times New Roman"/>
                <w:lang w:eastAsia="en-GB"/>
              </w:rPr>
              <w:t xml:space="preserve"> – there are no specific legal implications arising from this report</w:t>
            </w:r>
            <w:r w:rsidR="00926987">
              <w:rPr>
                <w:rFonts w:eastAsia="Times New Roman"/>
                <w:lang w:eastAsia="en-GB"/>
              </w:rPr>
              <w:t>.</w:t>
            </w:r>
            <w:r w:rsidR="007E7E2D">
              <w:rPr>
                <w:rFonts w:eastAsia="Times New Roman"/>
                <w:lang w:eastAsia="en-GB"/>
              </w:rPr>
              <w:t xml:space="preserve"> </w:t>
            </w:r>
          </w:p>
          <w:p w:rsidR="001F1DCD" w:rsidRDefault="001F1DCD" w:rsidP="007135AE">
            <w:pPr>
              <w:contextualSpacing/>
              <w:rPr>
                <w:rFonts w:eastAsia="Times New Roman"/>
                <w:lang w:eastAsia="en-GB"/>
              </w:rPr>
            </w:pPr>
          </w:p>
        </w:tc>
      </w:tr>
      <w:tr w:rsidR="00735A47" w:rsidRPr="007135AE" w:rsidTr="00735A47">
        <w:tc>
          <w:tcPr>
            <w:tcW w:w="709" w:type="dxa"/>
          </w:tcPr>
          <w:p w:rsidR="00735A47" w:rsidRPr="00735A47" w:rsidRDefault="00926987" w:rsidP="001E737E">
            <w:pPr>
              <w:rPr>
                <w:rFonts w:eastAsia="Times New Roman"/>
                <w:lang w:eastAsia="en-GB"/>
              </w:rPr>
            </w:pPr>
            <w:r>
              <w:rPr>
                <w:rFonts w:eastAsia="Times New Roman"/>
                <w:lang w:eastAsia="en-GB"/>
              </w:rPr>
              <w:t>6</w:t>
            </w:r>
            <w:r w:rsidR="001E737E">
              <w:rPr>
                <w:rFonts w:eastAsia="Times New Roman"/>
                <w:lang w:eastAsia="en-GB"/>
              </w:rPr>
              <w:t>.3</w:t>
            </w:r>
          </w:p>
        </w:tc>
        <w:tc>
          <w:tcPr>
            <w:tcW w:w="9498" w:type="dxa"/>
          </w:tcPr>
          <w:p w:rsidR="001F1DCD" w:rsidRDefault="00735A47" w:rsidP="007E7E2D">
            <w:pPr>
              <w:autoSpaceDE w:val="0"/>
              <w:autoSpaceDN w:val="0"/>
              <w:adjustRightInd w:val="0"/>
              <w:rPr>
                <w:rFonts w:eastAsia="Times New Roman"/>
                <w:lang w:eastAsia="en-GB"/>
              </w:rPr>
            </w:pPr>
            <w:r>
              <w:rPr>
                <w:rFonts w:eastAsia="Times New Roman"/>
                <w:lang w:eastAsia="en-GB"/>
              </w:rPr>
              <w:t>Community (Equality, Poverty and Rural)</w:t>
            </w:r>
            <w:r w:rsidR="007E7E2D">
              <w:rPr>
                <w:rFonts w:eastAsia="Times New Roman"/>
                <w:lang w:eastAsia="en-GB"/>
              </w:rPr>
              <w:t xml:space="preserve"> </w:t>
            </w:r>
            <w:r w:rsidR="00917D9E">
              <w:rPr>
                <w:rFonts w:eastAsia="Times New Roman"/>
                <w:lang w:eastAsia="en-GB"/>
              </w:rPr>
              <w:t>– there are no specific implications arising from this report</w:t>
            </w:r>
            <w:r w:rsidR="00926987">
              <w:rPr>
                <w:rFonts w:eastAsia="Times New Roman"/>
                <w:lang w:eastAsia="en-GB"/>
              </w:rPr>
              <w:t>.</w:t>
            </w:r>
            <w:r w:rsidR="00917D9E">
              <w:rPr>
                <w:rFonts w:eastAsia="Times New Roman"/>
                <w:lang w:eastAsia="en-GB"/>
              </w:rPr>
              <w:t xml:space="preserve"> </w:t>
            </w:r>
          </w:p>
          <w:p w:rsidR="00926987" w:rsidRDefault="00926987" w:rsidP="007E7E2D">
            <w:pPr>
              <w:autoSpaceDE w:val="0"/>
              <w:autoSpaceDN w:val="0"/>
              <w:adjustRightInd w:val="0"/>
              <w:rPr>
                <w:rFonts w:eastAsia="Times New Roman"/>
                <w:lang w:eastAsia="en-GB"/>
              </w:rPr>
            </w:pPr>
          </w:p>
        </w:tc>
      </w:tr>
      <w:tr w:rsidR="00735A47" w:rsidRPr="007135AE" w:rsidTr="00735A47">
        <w:tc>
          <w:tcPr>
            <w:tcW w:w="709" w:type="dxa"/>
          </w:tcPr>
          <w:p w:rsidR="00735A47" w:rsidRPr="00735A47" w:rsidRDefault="00926987" w:rsidP="001E737E">
            <w:pPr>
              <w:rPr>
                <w:rFonts w:eastAsia="Times New Roman"/>
                <w:lang w:eastAsia="en-GB"/>
              </w:rPr>
            </w:pPr>
            <w:r>
              <w:rPr>
                <w:rFonts w:eastAsia="Times New Roman"/>
                <w:lang w:eastAsia="en-GB"/>
              </w:rPr>
              <w:t>6</w:t>
            </w:r>
            <w:r w:rsidR="00735A47" w:rsidRPr="00735A47">
              <w:rPr>
                <w:rFonts w:eastAsia="Times New Roman"/>
                <w:lang w:eastAsia="en-GB"/>
              </w:rPr>
              <w:t>.4</w:t>
            </w:r>
          </w:p>
        </w:tc>
        <w:tc>
          <w:tcPr>
            <w:tcW w:w="9498" w:type="dxa"/>
          </w:tcPr>
          <w:p w:rsidR="007E7E2D" w:rsidRDefault="00735A47" w:rsidP="00756DCB">
            <w:pPr>
              <w:autoSpaceDE w:val="0"/>
              <w:autoSpaceDN w:val="0"/>
              <w:adjustRightInd w:val="0"/>
              <w:jc w:val="both"/>
            </w:pPr>
            <w:r>
              <w:rPr>
                <w:rFonts w:eastAsia="Times New Roman"/>
                <w:lang w:eastAsia="en-GB"/>
              </w:rPr>
              <w:t>Climate Change / Carbon Clever</w:t>
            </w:r>
            <w:r w:rsidR="007E7E2D">
              <w:rPr>
                <w:rFonts w:eastAsia="Times New Roman"/>
                <w:lang w:eastAsia="en-GB"/>
              </w:rPr>
              <w:t xml:space="preserve"> -</w:t>
            </w:r>
            <w:r w:rsidR="007E7E2D">
              <w:t xml:space="preserve"> continuing investment in heating and energy</w:t>
            </w:r>
          </w:p>
          <w:p w:rsidR="007E7E2D" w:rsidRDefault="007E7E2D" w:rsidP="00756DCB">
            <w:pPr>
              <w:autoSpaceDE w:val="0"/>
              <w:autoSpaceDN w:val="0"/>
              <w:adjustRightInd w:val="0"/>
              <w:jc w:val="both"/>
            </w:pPr>
            <w:r>
              <w:t>efficiency in council housing will help meet council objectives in relation to fuel poverty</w:t>
            </w:r>
          </w:p>
          <w:p w:rsidR="007E7E2D" w:rsidRDefault="007E7E2D" w:rsidP="00756DCB">
            <w:pPr>
              <w:contextualSpacing/>
              <w:jc w:val="both"/>
              <w:rPr>
                <w:rFonts w:eastAsia="Times New Roman"/>
                <w:lang w:eastAsia="en-GB"/>
              </w:rPr>
            </w:pPr>
            <w:proofErr w:type="gramStart"/>
            <w:r>
              <w:t>and</w:t>
            </w:r>
            <w:proofErr w:type="gramEnd"/>
            <w:r>
              <w:t xml:space="preserve"> climate change.</w:t>
            </w:r>
          </w:p>
          <w:p w:rsidR="001F1DCD" w:rsidRDefault="001F1DCD" w:rsidP="007135AE">
            <w:pPr>
              <w:contextualSpacing/>
              <w:rPr>
                <w:rFonts w:eastAsia="Times New Roman"/>
                <w:lang w:eastAsia="en-GB"/>
              </w:rPr>
            </w:pPr>
          </w:p>
          <w:p w:rsidR="00756DCB" w:rsidRDefault="00756DCB" w:rsidP="007135AE">
            <w:pPr>
              <w:contextualSpacing/>
              <w:rPr>
                <w:rFonts w:eastAsia="Times New Roman"/>
                <w:lang w:eastAsia="en-GB"/>
              </w:rPr>
            </w:pPr>
            <w:bookmarkStart w:id="0" w:name="_GoBack"/>
            <w:bookmarkEnd w:id="0"/>
          </w:p>
        </w:tc>
      </w:tr>
      <w:tr w:rsidR="00735A47" w:rsidRPr="007135AE" w:rsidTr="00735A47">
        <w:tc>
          <w:tcPr>
            <w:tcW w:w="709" w:type="dxa"/>
          </w:tcPr>
          <w:p w:rsidR="00735A47" w:rsidRPr="00735A47" w:rsidRDefault="00926987" w:rsidP="001E737E">
            <w:pPr>
              <w:rPr>
                <w:rFonts w:eastAsia="Times New Roman"/>
                <w:lang w:eastAsia="en-GB"/>
              </w:rPr>
            </w:pPr>
            <w:r>
              <w:rPr>
                <w:rFonts w:eastAsia="Times New Roman"/>
                <w:lang w:eastAsia="en-GB"/>
              </w:rPr>
              <w:lastRenderedPageBreak/>
              <w:t>6</w:t>
            </w:r>
            <w:r w:rsidR="00735A47" w:rsidRPr="00735A47">
              <w:rPr>
                <w:rFonts w:eastAsia="Times New Roman"/>
                <w:lang w:eastAsia="en-GB"/>
              </w:rPr>
              <w:t>.5</w:t>
            </w:r>
          </w:p>
        </w:tc>
        <w:tc>
          <w:tcPr>
            <w:tcW w:w="9498" w:type="dxa"/>
          </w:tcPr>
          <w:p w:rsidR="00917D9E" w:rsidRPr="00756DCB" w:rsidRDefault="00735A47" w:rsidP="00756DCB">
            <w:pPr>
              <w:contextualSpacing/>
              <w:jc w:val="both"/>
              <w:rPr>
                <w:rFonts w:eastAsia="Times New Roman"/>
                <w:lang w:eastAsia="en-GB"/>
              </w:rPr>
            </w:pPr>
            <w:r w:rsidRPr="00756DCB">
              <w:rPr>
                <w:rFonts w:eastAsia="Times New Roman"/>
                <w:lang w:eastAsia="en-GB"/>
              </w:rPr>
              <w:t>Risk</w:t>
            </w:r>
            <w:r w:rsidR="00917D9E" w:rsidRPr="00756DCB">
              <w:rPr>
                <w:rFonts w:eastAsia="Times New Roman"/>
                <w:lang w:eastAsia="en-GB"/>
              </w:rPr>
              <w:t xml:space="preserve"> - </w:t>
            </w:r>
            <w:r w:rsidR="00917D9E" w:rsidRPr="00756DCB">
              <w:t xml:space="preserve">implications to the budget position, and budget assumptions, will be kept under regular review and any risks identified to future Committee. </w:t>
            </w:r>
          </w:p>
          <w:p w:rsidR="001F1DCD" w:rsidRDefault="001F1DCD" w:rsidP="007135AE">
            <w:pPr>
              <w:contextualSpacing/>
              <w:rPr>
                <w:rFonts w:eastAsia="Times New Roman"/>
                <w:lang w:eastAsia="en-GB"/>
              </w:rPr>
            </w:pPr>
          </w:p>
        </w:tc>
      </w:tr>
      <w:tr w:rsidR="00735A47" w:rsidRPr="007135AE" w:rsidTr="00735A47">
        <w:tc>
          <w:tcPr>
            <w:tcW w:w="709" w:type="dxa"/>
          </w:tcPr>
          <w:p w:rsidR="00735A47" w:rsidRPr="00735A47" w:rsidRDefault="00926987" w:rsidP="001E737E">
            <w:pPr>
              <w:rPr>
                <w:rFonts w:eastAsia="Times New Roman"/>
                <w:lang w:eastAsia="en-GB"/>
              </w:rPr>
            </w:pPr>
            <w:r>
              <w:rPr>
                <w:rFonts w:eastAsia="Times New Roman"/>
                <w:lang w:eastAsia="en-GB"/>
              </w:rPr>
              <w:t>6</w:t>
            </w:r>
            <w:r w:rsidR="00735A47" w:rsidRPr="00735A47">
              <w:rPr>
                <w:rFonts w:eastAsia="Times New Roman"/>
                <w:lang w:eastAsia="en-GB"/>
              </w:rPr>
              <w:t>.6</w:t>
            </w:r>
          </w:p>
        </w:tc>
        <w:tc>
          <w:tcPr>
            <w:tcW w:w="9498" w:type="dxa"/>
          </w:tcPr>
          <w:p w:rsidR="00917D9E" w:rsidRPr="00917D9E" w:rsidRDefault="00735A47" w:rsidP="00917D9E">
            <w:pPr>
              <w:contextualSpacing/>
              <w:rPr>
                <w:rFonts w:eastAsia="Times New Roman"/>
                <w:lang w:eastAsia="en-GB"/>
              </w:rPr>
            </w:pPr>
            <w:r>
              <w:rPr>
                <w:rFonts w:eastAsia="Times New Roman"/>
                <w:lang w:eastAsia="en-GB"/>
              </w:rPr>
              <w:t>Gaelic</w:t>
            </w:r>
            <w:r w:rsidR="00917D9E">
              <w:rPr>
                <w:rFonts w:eastAsia="Times New Roman"/>
                <w:lang w:eastAsia="en-GB"/>
              </w:rPr>
              <w:t xml:space="preserve"> - t</w:t>
            </w:r>
            <w:r w:rsidR="00917D9E">
              <w:t xml:space="preserve">here are no implications arising as a direct result of this report. </w:t>
            </w:r>
          </w:p>
          <w:p w:rsidR="001F1DCD" w:rsidRDefault="001F1DCD" w:rsidP="007135AE">
            <w:pPr>
              <w:contextualSpacing/>
              <w:rPr>
                <w:rFonts w:eastAsia="Times New Roman"/>
                <w:lang w:eastAsia="en-GB"/>
              </w:rPr>
            </w:pPr>
          </w:p>
        </w:tc>
      </w:tr>
      <w:tr w:rsidR="00756DCB" w:rsidRPr="007135AE" w:rsidTr="00735A47">
        <w:tc>
          <w:tcPr>
            <w:tcW w:w="709" w:type="dxa"/>
          </w:tcPr>
          <w:p w:rsidR="00756DCB" w:rsidRDefault="00756DCB" w:rsidP="001E737E">
            <w:pPr>
              <w:rPr>
                <w:rFonts w:eastAsia="Times New Roman"/>
                <w:lang w:eastAsia="en-GB"/>
              </w:rPr>
            </w:pPr>
          </w:p>
        </w:tc>
        <w:tc>
          <w:tcPr>
            <w:tcW w:w="9498" w:type="dxa"/>
          </w:tcPr>
          <w:p w:rsidR="00756DCB" w:rsidRDefault="00756DCB" w:rsidP="00917D9E">
            <w:pPr>
              <w:contextualSpacing/>
              <w:rPr>
                <w:rFonts w:eastAsia="Times New Roman"/>
                <w:lang w:eastAsia="en-GB"/>
              </w:rPr>
            </w:pPr>
          </w:p>
        </w:tc>
      </w:tr>
      <w:tr w:rsidR="00756DCB" w:rsidRPr="007135AE" w:rsidTr="00735A47">
        <w:tc>
          <w:tcPr>
            <w:tcW w:w="709" w:type="dxa"/>
          </w:tcPr>
          <w:p w:rsidR="00756DCB" w:rsidRDefault="00756DCB" w:rsidP="001E737E">
            <w:pPr>
              <w:rPr>
                <w:rFonts w:eastAsia="Times New Roman"/>
                <w:lang w:eastAsia="en-GB"/>
              </w:rPr>
            </w:pPr>
          </w:p>
        </w:tc>
        <w:tc>
          <w:tcPr>
            <w:tcW w:w="9498" w:type="dxa"/>
          </w:tcPr>
          <w:p w:rsidR="00756DCB" w:rsidRPr="00614E94" w:rsidRDefault="00756DCB" w:rsidP="00756DCB">
            <w:r w:rsidRPr="00614E94">
              <w:t>Designation:</w:t>
            </w:r>
            <w:r>
              <w:tab/>
              <w:t>Director of Community Services</w:t>
            </w:r>
          </w:p>
          <w:p w:rsidR="00756DCB" w:rsidRPr="00614E94" w:rsidRDefault="00756DCB" w:rsidP="00756DCB"/>
          <w:p w:rsidR="00756DCB" w:rsidRPr="00614E94" w:rsidRDefault="00756DCB" w:rsidP="00756DCB">
            <w:r w:rsidRPr="00614E94">
              <w:t>Date:</w:t>
            </w:r>
            <w:r>
              <w:t xml:space="preserve"> </w:t>
            </w:r>
            <w:r>
              <w:tab/>
            </w:r>
            <w:r>
              <w:tab/>
              <w:t>24 October 2018</w:t>
            </w:r>
          </w:p>
          <w:p w:rsidR="00756DCB" w:rsidRPr="00614E94" w:rsidRDefault="00756DCB" w:rsidP="00756DCB"/>
          <w:p w:rsidR="00756DCB" w:rsidRPr="00614E94" w:rsidRDefault="00756DCB" w:rsidP="00756DCB">
            <w:r w:rsidRPr="00614E94">
              <w:t>Author:</w:t>
            </w:r>
            <w:r>
              <w:t xml:space="preserve"> </w:t>
            </w:r>
            <w:r>
              <w:tab/>
              <w:t>Jonathan Henderson, Housing Investment Officer</w:t>
            </w:r>
            <w:r w:rsidRPr="00614E94">
              <w:fldChar w:fldCharType="begin"/>
            </w:r>
            <w:r w:rsidRPr="00614E94">
              <w:instrText xml:space="preserve">  </w:instrText>
            </w:r>
            <w:r w:rsidRPr="00614E94">
              <w:fldChar w:fldCharType="end"/>
            </w:r>
          </w:p>
          <w:p w:rsidR="00756DCB" w:rsidRDefault="00756DCB" w:rsidP="00917D9E">
            <w:pPr>
              <w:contextualSpacing/>
              <w:rPr>
                <w:rFonts w:eastAsia="Times New Roman"/>
                <w:lang w:eastAsia="en-GB"/>
              </w:rPr>
            </w:pPr>
          </w:p>
        </w:tc>
      </w:tr>
    </w:tbl>
    <w:p w:rsidR="00810502" w:rsidRDefault="00810502" w:rsidP="00614E94"/>
    <w:p w:rsidR="00614E94" w:rsidRPr="00614E94" w:rsidRDefault="00614E94" w:rsidP="00614E94"/>
    <w:p w:rsidR="00DC6B3B" w:rsidRDefault="00DC6B3B"/>
    <w:p w:rsidR="00614E94" w:rsidRDefault="00614E94"/>
    <w:p w:rsidR="00614E94" w:rsidRDefault="00614E94"/>
    <w:p w:rsidR="00614E94" w:rsidRDefault="00614E94">
      <w:pPr>
        <w:sectPr w:rsidR="00614E94" w:rsidSect="00344E75">
          <w:headerReference w:type="even" r:id="rId9"/>
          <w:headerReference w:type="default" r:id="rId10"/>
          <w:footerReference w:type="even" r:id="rId11"/>
          <w:footerReference w:type="default" r:id="rId12"/>
          <w:headerReference w:type="first" r:id="rId13"/>
          <w:footerReference w:type="first" r:id="rId14"/>
          <w:pgSz w:w="11906" w:h="16838" w:code="9"/>
          <w:pgMar w:top="992" w:right="1440" w:bottom="851" w:left="1440" w:header="709" w:footer="709" w:gutter="0"/>
          <w:paperSrc w:first="260"/>
          <w:cols w:space="708"/>
          <w:docGrid w:linePitch="360"/>
        </w:sectPr>
      </w:pPr>
    </w:p>
    <w:p w:rsidR="00614E94" w:rsidRDefault="00614E94"/>
    <w:p w:rsidR="00DC6B3B" w:rsidRPr="00756DCB" w:rsidRDefault="00614E94" w:rsidP="00810502">
      <w:pPr>
        <w:jc w:val="right"/>
        <w:rPr>
          <w:b/>
        </w:rPr>
      </w:pPr>
      <w:r w:rsidRPr="00756DCB">
        <w:rPr>
          <w:b/>
        </w:rPr>
        <w:t xml:space="preserve">Appendix 1 </w:t>
      </w:r>
    </w:p>
    <w:p w:rsidR="00DC6B3B" w:rsidRDefault="00DC6B3B"/>
    <w:p w:rsidR="00614E94" w:rsidRPr="00756DCB" w:rsidRDefault="00614E94" w:rsidP="00756DCB">
      <w:pPr>
        <w:contextualSpacing/>
        <w:jc w:val="center"/>
        <w:rPr>
          <w:rFonts w:eastAsia="Times New Roman"/>
          <w:b/>
          <w:lang w:eastAsia="en-GB"/>
        </w:rPr>
      </w:pPr>
      <w:r w:rsidRPr="00756DCB">
        <w:rPr>
          <w:rFonts w:eastAsia="Times New Roman"/>
          <w:b/>
          <w:lang w:eastAsia="en-GB"/>
        </w:rPr>
        <w:t>HRA Capi</w:t>
      </w:r>
      <w:r w:rsidR="00A40620" w:rsidRPr="00756DCB">
        <w:rPr>
          <w:rFonts w:eastAsia="Times New Roman"/>
          <w:b/>
          <w:lang w:eastAsia="en-GB"/>
        </w:rPr>
        <w:t>tal Programme</w:t>
      </w:r>
    </w:p>
    <w:p w:rsidR="00DC6B3B" w:rsidRDefault="00DC6B3B"/>
    <w:p w:rsidR="00DC6B3B" w:rsidRDefault="00DC6B3B"/>
    <w:tbl>
      <w:tblPr>
        <w:tblStyle w:val="TableGrid"/>
        <w:tblW w:w="0" w:type="auto"/>
        <w:tblLook w:val="04A0" w:firstRow="1" w:lastRow="0" w:firstColumn="1" w:lastColumn="0" w:noHBand="0" w:noVBand="1"/>
      </w:tblPr>
      <w:tblGrid>
        <w:gridCol w:w="1651"/>
        <w:gridCol w:w="1473"/>
        <w:gridCol w:w="1959"/>
        <w:gridCol w:w="1959"/>
        <w:gridCol w:w="1418"/>
      </w:tblGrid>
      <w:tr w:rsidR="00A81B85" w:rsidTr="00A81B85">
        <w:tc>
          <w:tcPr>
            <w:tcW w:w="1651" w:type="dxa"/>
          </w:tcPr>
          <w:p w:rsidR="00A81B85" w:rsidRPr="00A81B85" w:rsidRDefault="00A81B85">
            <w:pPr>
              <w:rPr>
                <w:b/>
              </w:rPr>
            </w:pPr>
            <w:r w:rsidRPr="00A81B85">
              <w:rPr>
                <w:b/>
              </w:rPr>
              <w:t xml:space="preserve">Area </w:t>
            </w:r>
          </w:p>
        </w:tc>
        <w:tc>
          <w:tcPr>
            <w:tcW w:w="1473" w:type="dxa"/>
          </w:tcPr>
          <w:p w:rsidR="00A81B85" w:rsidRPr="00A81B85" w:rsidRDefault="00A81B85">
            <w:pPr>
              <w:rPr>
                <w:b/>
              </w:rPr>
            </w:pPr>
            <w:r w:rsidRPr="00A81B85">
              <w:rPr>
                <w:b/>
              </w:rPr>
              <w:t xml:space="preserve">Budget year </w:t>
            </w:r>
          </w:p>
        </w:tc>
        <w:tc>
          <w:tcPr>
            <w:tcW w:w="1959" w:type="dxa"/>
          </w:tcPr>
          <w:p w:rsidR="00A81B85" w:rsidRDefault="00A81B85">
            <w:pPr>
              <w:rPr>
                <w:b/>
              </w:rPr>
            </w:pPr>
            <w:r w:rsidRPr="00A81B85">
              <w:rPr>
                <w:b/>
              </w:rPr>
              <w:t xml:space="preserve">Mainstream Investment </w:t>
            </w:r>
          </w:p>
          <w:p w:rsidR="00A81B85" w:rsidRPr="00A81B85" w:rsidRDefault="00A81B85">
            <w:pPr>
              <w:rPr>
                <w:b/>
              </w:rPr>
            </w:pPr>
            <w:r>
              <w:rPr>
                <w:b/>
              </w:rPr>
              <w:t>£</w:t>
            </w:r>
          </w:p>
        </w:tc>
        <w:tc>
          <w:tcPr>
            <w:tcW w:w="1959" w:type="dxa"/>
          </w:tcPr>
          <w:p w:rsidR="00A81B85" w:rsidRDefault="00A81B85">
            <w:pPr>
              <w:rPr>
                <w:b/>
              </w:rPr>
            </w:pPr>
            <w:r w:rsidRPr="00A81B85">
              <w:rPr>
                <w:b/>
              </w:rPr>
              <w:t xml:space="preserve">Aids and Adaptations </w:t>
            </w:r>
          </w:p>
          <w:p w:rsidR="00A81B85" w:rsidRPr="00A81B85" w:rsidRDefault="00A81B85">
            <w:pPr>
              <w:rPr>
                <w:b/>
              </w:rPr>
            </w:pPr>
            <w:r>
              <w:rPr>
                <w:b/>
              </w:rPr>
              <w:t>£</w:t>
            </w:r>
          </w:p>
        </w:tc>
        <w:tc>
          <w:tcPr>
            <w:tcW w:w="1288" w:type="dxa"/>
          </w:tcPr>
          <w:p w:rsidR="00A81B85" w:rsidRDefault="00A81B85">
            <w:pPr>
              <w:rPr>
                <w:b/>
              </w:rPr>
            </w:pPr>
            <w:r w:rsidRPr="00A81B85">
              <w:rPr>
                <w:b/>
              </w:rPr>
              <w:t xml:space="preserve">Total </w:t>
            </w:r>
          </w:p>
          <w:p w:rsidR="00A81B85" w:rsidRDefault="00A81B85">
            <w:pPr>
              <w:rPr>
                <w:b/>
              </w:rPr>
            </w:pPr>
          </w:p>
          <w:p w:rsidR="00A81B85" w:rsidRPr="00A81B85" w:rsidRDefault="00A81B85">
            <w:pPr>
              <w:rPr>
                <w:b/>
              </w:rPr>
            </w:pPr>
            <w:r>
              <w:rPr>
                <w:b/>
              </w:rPr>
              <w:t>£</w:t>
            </w:r>
          </w:p>
        </w:tc>
      </w:tr>
      <w:tr w:rsidR="00A81B85" w:rsidTr="00A81B85">
        <w:tc>
          <w:tcPr>
            <w:tcW w:w="1651" w:type="dxa"/>
          </w:tcPr>
          <w:p w:rsidR="00A81B85" w:rsidRPr="00A81B85" w:rsidRDefault="003E5B1C">
            <w:r>
              <w:t xml:space="preserve">Sutherland </w:t>
            </w:r>
            <w:r w:rsidR="00A81B85" w:rsidRPr="00A81B85">
              <w:t xml:space="preserve"> </w:t>
            </w:r>
          </w:p>
        </w:tc>
        <w:tc>
          <w:tcPr>
            <w:tcW w:w="1473" w:type="dxa"/>
          </w:tcPr>
          <w:p w:rsidR="00A81B85" w:rsidRPr="00A81B85" w:rsidRDefault="00A81B85">
            <w:r w:rsidRPr="00A81B85">
              <w:t>2019/20</w:t>
            </w:r>
          </w:p>
        </w:tc>
        <w:tc>
          <w:tcPr>
            <w:tcW w:w="1959" w:type="dxa"/>
          </w:tcPr>
          <w:p w:rsidR="00A81B85" w:rsidRPr="00A81B85" w:rsidRDefault="008F47E9">
            <w:r>
              <w:t>979,133</w:t>
            </w:r>
          </w:p>
        </w:tc>
        <w:tc>
          <w:tcPr>
            <w:tcW w:w="1959" w:type="dxa"/>
          </w:tcPr>
          <w:p w:rsidR="00A81B85" w:rsidRPr="00A81B85" w:rsidRDefault="008F47E9">
            <w:r>
              <w:t>67,000</w:t>
            </w:r>
          </w:p>
        </w:tc>
        <w:tc>
          <w:tcPr>
            <w:tcW w:w="1288" w:type="dxa"/>
          </w:tcPr>
          <w:p w:rsidR="00A81B85" w:rsidRPr="00A81B85" w:rsidRDefault="008F47E9">
            <w:r>
              <w:t>1,046,133</w:t>
            </w:r>
          </w:p>
        </w:tc>
      </w:tr>
      <w:tr w:rsidR="00A81B85" w:rsidTr="00A81B85">
        <w:tc>
          <w:tcPr>
            <w:tcW w:w="1651" w:type="dxa"/>
          </w:tcPr>
          <w:p w:rsidR="00A81B85" w:rsidRPr="00A81B85" w:rsidRDefault="00A81B85"/>
        </w:tc>
        <w:tc>
          <w:tcPr>
            <w:tcW w:w="1473" w:type="dxa"/>
          </w:tcPr>
          <w:p w:rsidR="00A81B85" w:rsidRPr="00A81B85" w:rsidRDefault="00A81B85">
            <w:r w:rsidRPr="00A81B85">
              <w:t>2020/21</w:t>
            </w:r>
          </w:p>
        </w:tc>
        <w:tc>
          <w:tcPr>
            <w:tcW w:w="1959" w:type="dxa"/>
          </w:tcPr>
          <w:p w:rsidR="00A81B85" w:rsidRPr="00A81B85" w:rsidRDefault="008F47E9">
            <w:r>
              <w:t>1,028,045</w:t>
            </w:r>
          </w:p>
        </w:tc>
        <w:tc>
          <w:tcPr>
            <w:tcW w:w="1959" w:type="dxa"/>
          </w:tcPr>
          <w:p w:rsidR="00A81B85" w:rsidRPr="00A81B85" w:rsidRDefault="008F47E9">
            <w:r>
              <w:t>67,000</w:t>
            </w:r>
          </w:p>
        </w:tc>
        <w:tc>
          <w:tcPr>
            <w:tcW w:w="1288" w:type="dxa"/>
          </w:tcPr>
          <w:p w:rsidR="00A81B85" w:rsidRPr="00A81B85" w:rsidRDefault="008F47E9" w:rsidP="003E5B1C">
            <w:r>
              <w:t>1,095,045</w:t>
            </w:r>
          </w:p>
        </w:tc>
      </w:tr>
      <w:tr w:rsidR="00A81B85" w:rsidTr="00A81B85">
        <w:tc>
          <w:tcPr>
            <w:tcW w:w="1651" w:type="dxa"/>
          </w:tcPr>
          <w:p w:rsidR="00A81B85" w:rsidRPr="00A81B85" w:rsidRDefault="00A81B85"/>
        </w:tc>
        <w:tc>
          <w:tcPr>
            <w:tcW w:w="1473" w:type="dxa"/>
          </w:tcPr>
          <w:p w:rsidR="00A81B85" w:rsidRPr="00A81B85" w:rsidRDefault="00A81B85"/>
        </w:tc>
        <w:tc>
          <w:tcPr>
            <w:tcW w:w="1959" w:type="dxa"/>
          </w:tcPr>
          <w:p w:rsidR="00A81B85" w:rsidRPr="00A81B85" w:rsidRDefault="00A81B85"/>
        </w:tc>
        <w:tc>
          <w:tcPr>
            <w:tcW w:w="1959" w:type="dxa"/>
          </w:tcPr>
          <w:p w:rsidR="00A81B85" w:rsidRPr="00A81B85" w:rsidRDefault="00A81B85"/>
        </w:tc>
        <w:tc>
          <w:tcPr>
            <w:tcW w:w="1288" w:type="dxa"/>
          </w:tcPr>
          <w:p w:rsidR="00A81B85" w:rsidRDefault="00A81B85"/>
        </w:tc>
      </w:tr>
      <w:tr w:rsidR="00A81B85" w:rsidTr="00A81B85">
        <w:tc>
          <w:tcPr>
            <w:tcW w:w="1651" w:type="dxa"/>
          </w:tcPr>
          <w:p w:rsidR="00A81B85" w:rsidRPr="00A81B85" w:rsidRDefault="00A81B85"/>
        </w:tc>
        <w:tc>
          <w:tcPr>
            <w:tcW w:w="1473" w:type="dxa"/>
          </w:tcPr>
          <w:p w:rsidR="00A81B85" w:rsidRPr="00A81B85" w:rsidRDefault="00A81B85"/>
        </w:tc>
        <w:tc>
          <w:tcPr>
            <w:tcW w:w="1959" w:type="dxa"/>
          </w:tcPr>
          <w:p w:rsidR="00A81B85" w:rsidRPr="00A81B85" w:rsidRDefault="00A81B85"/>
        </w:tc>
        <w:tc>
          <w:tcPr>
            <w:tcW w:w="1959" w:type="dxa"/>
          </w:tcPr>
          <w:p w:rsidR="00A81B85" w:rsidRPr="00A81B85" w:rsidRDefault="00A81B85"/>
        </w:tc>
        <w:tc>
          <w:tcPr>
            <w:tcW w:w="1288" w:type="dxa"/>
          </w:tcPr>
          <w:p w:rsidR="00A81B85" w:rsidRDefault="00A81B85"/>
        </w:tc>
      </w:tr>
      <w:tr w:rsidR="00A81B85" w:rsidTr="00A81B85">
        <w:tc>
          <w:tcPr>
            <w:tcW w:w="1651" w:type="dxa"/>
          </w:tcPr>
          <w:p w:rsidR="00A81B85" w:rsidRPr="00A81B85" w:rsidRDefault="00A81B85">
            <w:pPr>
              <w:rPr>
                <w:b/>
              </w:rPr>
            </w:pPr>
            <w:r>
              <w:rPr>
                <w:b/>
              </w:rPr>
              <w:t xml:space="preserve">Highland </w:t>
            </w:r>
          </w:p>
        </w:tc>
        <w:tc>
          <w:tcPr>
            <w:tcW w:w="1473" w:type="dxa"/>
          </w:tcPr>
          <w:p w:rsidR="00A81B85" w:rsidRPr="00A81B85" w:rsidRDefault="00A81B85">
            <w:r>
              <w:t>2019/20</w:t>
            </w:r>
          </w:p>
        </w:tc>
        <w:tc>
          <w:tcPr>
            <w:tcW w:w="1959" w:type="dxa"/>
          </w:tcPr>
          <w:p w:rsidR="00A81B85" w:rsidRPr="00A81B85" w:rsidRDefault="00A81B85">
            <w:r>
              <w:t>13,232,000</w:t>
            </w:r>
          </w:p>
        </w:tc>
        <w:tc>
          <w:tcPr>
            <w:tcW w:w="1959" w:type="dxa"/>
          </w:tcPr>
          <w:p w:rsidR="00A81B85" w:rsidRPr="00A81B85" w:rsidRDefault="00A81B85">
            <w:r>
              <w:t>1,000,000</w:t>
            </w:r>
          </w:p>
        </w:tc>
        <w:tc>
          <w:tcPr>
            <w:tcW w:w="1288" w:type="dxa"/>
          </w:tcPr>
          <w:p w:rsidR="00A81B85" w:rsidRDefault="00A81B85">
            <w:r>
              <w:t>14,232,000</w:t>
            </w:r>
          </w:p>
        </w:tc>
      </w:tr>
      <w:tr w:rsidR="00A81B85" w:rsidTr="00A81B85">
        <w:tc>
          <w:tcPr>
            <w:tcW w:w="1651" w:type="dxa"/>
          </w:tcPr>
          <w:p w:rsidR="00A81B85" w:rsidRDefault="00A81B85">
            <w:pPr>
              <w:rPr>
                <w:b/>
              </w:rPr>
            </w:pPr>
          </w:p>
        </w:tc>
        <w:tc>
          <w:tcPr>
            <w:tcW w:w="1473" w:type="dxa"/>
          </w:tcPr>
          <w:p w:rsidR="00A81B85" w:rsidRDefault="00A81B85">
            <w:r>
              <w:t>2020/21</w:t>
            </w:r>
          </w:p>
        </w:tc>
        <w:tc>
          <w:tcPr>
            <w:tcW w:w="1959" w:type="dxa"/>
          </w:tcPr>
          <w:p w:rsidR="00A81B85" w:rsidRPr="00A81B85" w:rsidRDefault="00A81B85">
            <w:r>
              <w:t>13,893,000</w:t>
            </w:r>
          </w:p>
        </w:tc>
        <w:tc>
          <w:tcPr>
            <w:tcW w:w="1959" w:type="dxa"/>
          </w:tcPr>
          <w:p w:rsidR="00A81B85" w:rsidRPr="00A81B85" w:rsidRDefault="00A81B85">
            <w:r>
              <w:t>1,000,000</w:t>
            </w:r>
          </w:p>
        </w:tc>
        <w:tc>
          <w:tcPr>
            <w:tcW w:w="1288" w:type="dxa"/>
          </w:tcPr>
          <w:p w:rsidR="00A81B85" w:rsidRDefault="00A81B85">
            <w:r>
              <w:t>14,893,000</w:t>
            </w:r>
          </w:p>
        </w:tc>
      </w:tr>
    </w:tbl>
    <w:p w:rsidR="00DC6B3B" w:rsidRDefault="00DC6B3B">
      <w:pPr>
        <w:sectPr w:rsidR="00DC6B3B" w:rsidSect="007135AE">
          <w:pgSz w:w="11906" w:h="16838"/>
          <w:pgMar w:top="993" w:right="1440" w:bottom="851" w:left="1440" w:header="708" w:footer="708" w:gutter="0"/>
          <w:cols w:space="708"/>
          <w:docGrid w:linePitch="360"/>
        </w:sectPr>
      </w:pPr>
    </w:p>
    <w:p w:rsidR="00DC6B3B" w:rsidRPr="00756DCB" w:rsidRDefault="00614E94" w:rsidP="00810502">
      <w:pPr>
        <w:jc w:val="right"/>
        <w:rPr>
          <w:b/>
        </w:rPr>
      </w:pPr>
      <w:r w:rsidRPr="00756DCB">
        <w:rPr>
          <w:b/>
        </w:rPr>
        <w:lastRenderedPageBreak/>
        <w:t>Appendix 2</w:t>
      </w:r>
      <w:r w:rsidR="00DC6B3B" w:rsidRPr="00756DCB">
        <w:rPr>
          <w:b/>
        </w:rPr>
        <w:t xml:space="preserve"> </w:t>
      </w:r>
    </w:p>
    <w:p w:rsidR="00943289" w:rsidRDefault="00943289" w:rsidP="00DC6B3B"/>
    <w:tbl>
      <w:tblPr>
        <w:tblW w:w="14474" w:type="dxa"/>
        <w:tblInd w:w="93" w:type="dxa"/>
        <w:tblLook w:val="04A0" w:firstRow="1" w:lastRow="0" w:firstColumn="1" w:lastColumn="0" w:noHBand="0" w:noVBand="1"/>
      </w:tblPr>
      <w:tblGrid>
        <w:gridCol w:w="4737"/>
        <w:gridCol w:w="2088"/>
        <w:gridCol w:w="1475"/>
        <w:gridCol w:w="6174"/>
      </w:tblGrid>
      <w:tr w:rsidR="003E5B1C" w:rsidRPr="003E5B1C" w:rsidTr="003E5B1C">
        <w:trPr>
          <w:trHeight w:val="300"/>
        </w:trPr>
        <w:tc>
          <w:tcPr>
            <w:tcW w:w="14474" w:type="dxa"/>
            <w:gridSpan w:val="4"/>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Sutherland HRA Capital Programme 2019-20</w:t>
            </w:r>
          </w:p>
        </w:tc>
      </w:tr>
      <w:tr w:rsidR="003E5B1C" w:rsidRPr="003E5B1C" w:rsidTr="003E5B1C">
        <w:trPr>
          <w:trHeight w:val="300"/>
        </w:trPr>
        <w:tc>
          <w:tcPr>
            <w:tcW w:w="4737" w:type="dxa"/>
            <w:tcBorders>
              <w:top w:val="nil"/>
              <w:left w:val="single" w:sz="4" w:space="0" w:color="auto"/>
              <w:bottom w:val="single" w:sz="4" w:space="0" w:color="auto"/>
              <w:right w:val="single" w:sz="4" w:space="0" w:color="auto"/>
            </w:tcBorders>
            <w:shd w:val="clear" w:color="auto" w:fill="auto"/>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w:t>
            </w:r>
          </w:p>
        </w:tc>
        <w:tc>
          <w:tcPr>
            <w:tcW w:w="2088" w:type="dxa"/>
            <w:tcBorders>
              <w:top w:val="nil"/>
              <w:left w:val="nil"/>
              <w:bottom w:val="single" w:sz="4" w:space="0" w:color="auto"/>
              <w:right w:val="single" w:sz="4" w:space="0" w:color="auto"/>
            </w:tcBorders>
            <w:shd w:val="clear" w:color="auto" w:fill="auto"/>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xml:space="preserve">Number of units </w:t>
            </w:r>
          </w:p>
        </w:tc>
        <w:tc>
          <w:tcPr>
            <w:tcW w:w="1475" w:type="dxa"/>
            <w:tcBorders>
              <w:top w:val="nil"/>
              <w:left w:val="nil"/>
              <w:bottom w:val="single" w:sz="4" w:space="0" w:color="auto"/>
              <w:right w:val="single" w:sz="4" w:space="0" w:color="auto"/>
            </w:tcBorders>
            <w:shd w:val="clear" w:color="auto" w:fill="auto"/>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xml:space="preserve">Project budget </w:t>
            </w:r>
          </w:p>
        </w:tc>
        <w:tc>
          <w:tcPr>
            <w:tcW w:w="6174" w:type="dxa"/>
            <w:tcBorders>
              <w:top w:val="nil"/>
              <w:left w:val="nil"/>
              <w:bottom w:val="single" w:sz="4" w:space="0" w:color="auto"/>
              <w:right w:val="single" w:sz="4" w:space="0" w:color="auto"/>
            </w:tcBorders>
            <w:shd w:val="clear" w:color="auto" w:fill="auto"/>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xml:space="preserve">Comments </w:t>
            </w:r>
          </w:p>
        </w:tc>
      </w:tr>
      <w:tr w:rsidR="003E5B1C" w:rsidRPr="003E5B1C" w:rsidTr="003E5B1C">
        <w:trPr>
          <w:trHeight w:val="300"/>
        </w:trPr>
        <w:tc>
          <w:tcPr>
            <w:tcW w:w="14474" w:type="dxa"/>
            <w:gridSpan w:val="4"/>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xml:space="preserve">Equipment and adaptations </w:t>
            </w:r>
          </w:p>
        </w:tc>
      </w:tr>
      <w:tr w:rsidR="003E5B1C" w:rsidRPr="003E5B1C" w:rsidTr="003E5B1C">
        <w:trPr>
          <w:trHeight w:val="300"/>
        </w:trPr>
        <w:tc>
          <w:tcPr>
            <w:tcW w:w="4737" w:type="dxa"/>
            <w:tcBorders>
              <w:top w:val="nil"/>
              <w:left w:val="single" w:sz="4" w:space="0" w:color="auto"/>
              <w:bottom w:val="single" w:sz="4" w:space="0" w:color="auto"/>
              <w:right w:val="single" w:sz="4" w:space="0" w:color="auto"/>
            </w:tcBorders>
            <w:shd w:val="clear" w:color="000000" w:fill="F2DCDB"/>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Equipment and adaptations</w:t>
            </w:r>
          </w:p>
        </w:tc>
        <w:tc>
          <w:tcPr>
            <w:tcW w:w="2088" w:type="dxa"/>
            <w:tcBorders>
              <w:top w:val="nil"/>
              <w:left w:val="nil"/>
              <w:bottom w:val="single" w:sz="4" w:space="0" w:color="auto"/>
              <w:right w:val="single" w:sz="4" w:space="0" w:color="auto"/>
            </w:tcBorders>
            <w:shd w:val="clear" w:color="000000" w:fill="F2DCDB"/>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xml:space="preserve">on demand </w:t>
            </w:r>
          </w:p>
        </w:tc>
        <w:tc>
          <w:tcPr>
            <w:tcW w:w="1475" w:type="dxa"/>
            <w:tcBorders>
              <w:top w:val="nil"/>
              <w:left w:val="nil"/>
              <w:bottom w:val="single" w:sz="4" w:space="0" w:color="auto"/>
              <w:right w:val="single" w:sz="4" w:space="0" w:color="auto"/>
            </w:tcBorders>
            <w:shd w:val="clear" w:color="000000" w:fill="F2DCDB"/>
            <w:noWrap/>
            <w:vAlign w:val="bottom"/>
            <w:hideMark/>
          </w:tcPr>
          <w:p w:rsidR="003E5B1C" w:rsidRPr="003E5B1C" w:rsidRDefault="003E5B1C" w:rsidP="003E5B1C">
            <w:pPr>
              <w:jc w:val="right"/>
              <w:rPr>
                <w:rFonts w:eastAsia="Times New Roman"/>
                <w:color w:val="000000"/>
                <w:sz w:val="22"/>
                <w:szCs w:val="22"/>
                <w:lang w:eastAsia="en-GB"/>
              </w:rPr>
            </w:pPr>
            <w:r w:rsidRPr="003E5B1C">
              <w:rPr>
                <w:rFonts w:eastAsia="Times New Roman"/>
                <w:color w:val="000000"/>
                <w:sz w:val="22"/>
                <w:szCs w:val="22"/>
                <w:lang w:eastAsia="en-GB"/>
              </w:rPr>
              <w:t>£67,000</w:t>
            </w:r>
          </w:p>
        </w:tc>
        <w:tc>
          <w:tcPr>
            <w:tcW w:w="6174" w:type="dxa"/>
            <w:tcBorders>
              <w:top w:val="nil"/>
              <w:left w:val="nil"/>
              <w:bottom w:val="single" w:sz="4" w:space="0" w:color="auto"/>
              <w:right w:val="single" w:sz="4" w:space="0" w:color="auto"/>
            </w:tcBorders>
            <w:shd w:val="clear" w:color="000000" w:fill="F2DCDB"/>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xml:space="preserve">Works on demand following referral from OT </w:t>
            </w:r>
          </w:p>
        </w:tc>
      </w:tr>
      <w:tr w:rsidR="003E5B1C" w:rsidRPr="003E5B1C" w:rsidTr="003E5B1C">
        <w:trPr>
          <w:trHeight w:val="300"/>
        </w:trPr>
        <w:tc>
          <w:tcPr>
            <w:tcW w:w="4737" w:type="dxa"/>
            <w:tcBorders>
              <w:top w:val="nil"/>
              <w:left w:val="single" w:sz="4" w:space="0" w:color="auto"/>
              <w:bottom w:val="single" w:sz="4" w:space="0" w:color="auto"/>
              <w:right w:val="single" w:sz="4" w:space="0" w:color="auto"/>
            </w:tcBorders>
            <w:shd w:val="clear" w:color="000000" w:fill="DCE6F1"/>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xml:space="preserve">Major Component Replacement </w:t>
            </w:r>
          </w:p>
        </w:tc>
        <w:tc>
          <w:tcPr>
            <w:tcW w:w="2088" w:type="dxa"/>
            <w:tcBorders>
              <w:top w:val="nil"/>
              <w:left w:val="nil"/>
              <w:bottom w:val="single" w:sz="4" w:space="0" w:color="auto"/>
              <w:right w:val="single" w:sz="4" w:space="0" w:color="auto"/>
            </w:tcBorders>
            <w:shd w:val="clear" w:color="000000" w:fill="DCE6F1"/>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w:t>
            </w:r>
          </w:p>
        </w:tc>
        <w:tc>
          <w:tcPr>
            <w:tcW w:w="1475" w:type="dxa"/>
            <w:tcBorders>
              <w:top w:val="nil"/>
              <w:left w:val="nil"/>
              <w:bottom w:val="single" w:sz="4" w:space="0" w:color="auto"/>
              <w:right w:val="single" w:sz="4" w:space="0" w:color="auto"/>
            </w:tcBorders>
            <w:shd w:val="clear" w:color="000000" w:fill="DCE6F1"/>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w:t>
            </w:r>
          </w:p>
        </w:tc>
        <w:tc>
          <w:tcPr>
            <w:tcW w:w="6174" w:type="dxa"/>
            <w:tcBorders>
              <w:top w:val="nil"/>
              <w:left w:val="nil"/>
              <w:bottom w:val="single" w:sz="4" w:space="0" w:color="auto"/>
              <w:right w:val="single" w:sz="4" w:space="0" w:color="auto"/>
            </w:tcBorders>
            <w:shd w:val="clear" w:color="000000" w:fill="DCE6F1"/>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w:t>
            </w:r>
          </w:p>
        </w:tc>
      </w:tr>
      <w:tr w:rsidR="003E5B1C" w:rsidRPr="003E5B1C" w:rsidTr="003E5B1C">
        <w:trPr>
          <w:trHeight w:val="300"/>
        </w:trPr>
        <w:tc>
          <w:tcPr>
            <w:tcW w:w="4737" w:type="dxa"/>
            <w:tcBorders>
              <w:top w:val="nil"/>
              <w:left w:val="single" w:sz="4" w:space="0" w:color="auto"/>
              <w:bottom w:val="single" w:sz="4" w:space="0" w:color="auto"/>
              <w:right w:val="single" w:sz="4" w:space="0" w:color="auto"/>
            </w:tcBorders>
            <w:shd w:val="clear" w:color="000000" w:fill="F2DCDB"/>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xml:space="preserve">Windows and doors replacements </w:t>
            </w:r>
          </w:p>
        </w:tc>
        <w:tc>
          <w:tcPr>
            <w:tcW w:w="2088" w:type="dxa"/>
            <w:tcBorders>
              <w:top w:val="nil"/>
              <w:left w:val="nil"/>
              <w:bottom w:val="single" w:sz="4" w:space="0" w:color="auto"/>
              <w:right w:val="single" w:sz="4" w:space="0" w:color="auto"/>
            </w:tcBorders>
            <w:shd w:val="clear" w:color="000000" w:fill="F2DCDB"/>
            <w:noWrap/>
            <w:vAlign w:val="bottom"/>
            <w:hideMark/>
          </w:tcPr>
          <w:p w:rsidR="003E5B1C" w:rsidRPr="003E5B1C" w:rsidRDefault="003E5B1C" w:rsidP="003E5B1C">
            <w:pPr>
              <w:jc w:val="right"/>
              <w:rPr>
                <w:rFonts w:eastAsia="Times New Roman"/>
                <w:color w:val="000000"/>
                <w:sz w:val="22"/>
                <w:szCs w:val="22"/>
                <w:lang w:eastAsia="en-GB"/>
              </w:rPr>
            </w:pPr>
            <w:r w:rsidRPr="003E5B1C">
              <w:rPr>
                <w:rFonts w:eastAsia="Times New Roman"/>
                <w:color w:val="000000"/>
                <w:sz w:val="22"/>
                <w:szCs w:val="22"/>
                <w:lang w:eastAsia="en-GB"/>
              </w:rPr>
              <w:t>24</w:t>
            </w:r>
          </w:p>
        </w:tc>
        <w:tc>
          <w:tcPr>
            <w:tcW w:w="1475" w:type="dxa"/>
            <w:tcBorders>
              <w:top w:val="nil"/>
              <w:left w:val="nil"/>
              <w:bottom w:val="single" w:sz="4" w:space="0" w:color="auto"/>
              <w:right w:val="single" w:sz="4" w:space="0" w:color="auto"/>
            </w:tcBorders>
            <w:shd w:val="clear" w:color="000000" w:fill="F2DCDB"/>
            <w:noWrap/>
            <w:vAlign w:val="bottom"/>
            <w:hideMark/>
          </w:tcPr>
          <w:p w:rsidR="003E5B1C" w:rsidRPr="003E5B1C" w:rsidRDefault="003E5B1C" w:rsidP="003E5B1C">
            <w:pPr>
              <w:jc w:val="right"/>
              <w:rPr>
                <w:rFonts w:eastAsia="Times New Roman"/>
                <w:color w:val="000000"/>
                <w:sz w:val="22"/>
                <w:szCs w:val="22"/>
                <w:lang w:eastAsia="en-GB"/>
              </w:rPr>
            </w:pPr>
            <w:r w:rsidRPr="003E5B1C">
              <w:rPr>
                <w:rFonts w:eastAsia="Times New Roman"/>
                <w:color w:val="000000"/>
                <w:sz w:val="22"/>
                <w:szCs w:val="22"/>
                <w:lang w:eastAsia="en-GB"/>
              </w:rPr>
              <w:t>£192,000</w:t>
            </w:r>
          </w:p>
        </w:tc>
        <w:tc>
          <w:tcPr>
            <w:tcW w:w="6174" w:type="dxa"/>
            <w:tcBorders>
              <w:top w:val="nil"/>
              <w:left w:val="nil"/>
              <w:bottom w:val="single" w:sz="4" w:space="0" w:color="auto"/>
              <w:right w:val="single" w:sz="4" w:space="0" w:color="auto"/>
            </w:tcBorders>
            <w:shd w:val="clear" w:color="000000" w:fill="F2DCDB"/>
            <w:noWrap/>
            <w:vAlign w:val="bottom"/>
            <w:hideMark/>
          </w:tcPr>
          <w:p w:rsidR="003E5B1C" w:rsidRPr="003E5B1C" w:rsidRDefault="003E5B1C" w:rsidP="003E5B1C">
            <w:pPr>
              <w:rPr>
                <w:rFonts w:eastAsia="Times New Roman"/>
                <w:color w:val="000000"/>
                <w:sz w:val="22"/>
                <w:szCs w:val="22"/>
                <w:lang w:eastAsia="en-GB"/>
              </w:rPr>
            </w:pPr>
            <w:r>
              <w:rPr>
                <w:rFonts w:eastAsia="Times New Roman"/>
                <w:color w:val="000000"/>
                <w:sz w:val="22"/>
                <w:szCs w:val="22"/>
                <w:lang w:eastAsia="en-GB"/>
              </w:rPr>
              <w:t xml:space="preserve">Oldest windows and doors Sutherland </w:t>
            </w:r>
          </w:p>
        </w:tc>
      </w:tr>
      <w:tr w:rsidR="003E5B1C" w:rsidRPr="003E5B1C" w:rsidTr="003E5B1C">
        <w:trPr>
          <w:trHeight w:val="300"/>
        </w:trPr>
        <w:tc>
          <w:tcPr>
            <w:tcW w:w="4737" w:type="dxa"/>
            <w:tcBorders>
              <w:top w:val="nil"/>
              <w:left w:val="single" w:sz="4" w:space="0" w:color="auto"/>
              <w:bottom w:val="single" w:sz="4" w:space="0" w:color="auto"/>
              <w:right w:val="single" w:sz="4" w:space="0" w:color="auto"/>
            </w:tcBorders>
            <w:shd w:val="clear" w:color="000000" w:fill="F2DCDB"/>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xml:space="preserve">Kitchen replacements </w:t>
            </w:r>
          </w:p>
        </w:tc>
        <w:tc>
          <w:tcPr>
            <w:tcW w:w="2088" w:type="dxa"/>
            <w:tcBorders>
              <w:top w:val="nil"/>
              <w:left w:val="nil"/>
              <w:bottom w:val="single" w:sz="4" w:space="0" w:color="auto"/>
              <w:right w:val="single" w:sz="4" w:space="0" w:color="auto"/>
            </w:tcBorders>
            <w:shd w:val="clear" w:color="000000" w:fill="F2DCDB"/>
            <w:noWrap/>
            <w:vAlign w:val="bottom"/>
            <w:hideMark/>
          </w:tcPr>
          <w:p w:rsidR="003E5B1C" w:rsidRPr="003E5B1C" w:rsidRDefault="003E5B1C" w:rsidP="003E5B1C">
            <w:pPr>
              <w:jc w:val="right"/>
              <w:rPr>
                <w:rFonts w:eastAsia="Times New Roman"/>
                <w:color w:val="000000"/>
                <w:sz w:val="22"/>
                <w:szCs w:val="22"/>
                <w:lang w:eastAsia="en-GB"/>
              </w:rPr>
            </w:pPr>
            <w:r w:rsidRPr="003E5B1C">
              <w:rPr>
                <w:rFonts w:eastAsia="Times New Roman"/>
                <w:color w:val="000000"/>
                <w:sz w:val="22"/>
                <w:szCs w:val="22"/>
                <w:lang w:eastAsia="en-GB"/>
              </w:rPr>
              <w:t>20</w:t>
            </w:r>
          </w:p>
        </w:tc>
        <w:tc>
          <w:tcPr>
            <w:tcW w:w="1475" w:type="dxa"/>
            <w:tcBorders>
              <w:top w:val="nil"/>
              <w:left w:val="nil"/>
              <w:bottom w:val="single" w:sz="4" w:space="0" w:color="auto"/>
              <w:right w:val="single" w:sz="4" w:space="0" w:color="auto"/>
            </w:tcBorders>
            <w:shd w:val="clear" w:color="000000" w:fill="F2DCDB"/>
            <w:noWrap/>
            <w:vAlign w:val="bottom"/>
            <w:hideMark/>
          </w:tcPr>
          <w:p w:rsidR="003E5B1C" w:rsidRPr="003E5B1C" w:rsidRDefault="003E5B1C" w:rsidP="003E5B1C">
            <w:pPr>
              <w:jc w:val="right"/>
              <w:rPr>
                <w:rFonts w:eastAsia="Times New Roman"/>
                <w:color w:val="000000"/>
                <w:sz w:val="22"/>
                <w:szCs w:val="22"/>
                <w:lang w:eastAsia="en-GB"/>
              </w:rPr>
            </w:pPr>
            <w:r w:rsidRPr="003E5B1C">
              <w:rPr>
                <w:rFonts w:eastAsia="Times New Roman"/>
                <w:color w:val="000000"/>
                <w:sz w:val="22"/>
                <w:szCs w:val="22"/>
                <w:lang w:eastAsia="en-GB"/>
              </w:rPr>
              <w:t>£100,000</w:t>
            </w:r>
          </w:p>
        </w:tc>
        <w:tc>
          <w:tcPr>
            <w:tcW w:w="6174" w:type="dxa"/>
            <w:tcBorders>
              <w:top w:val="nil"/>
              <w:left w:val="nil"/>
              <w:bottom w:val="single" w:sz="4" w:space="0" w:color="auto"/>
              <w:right w:val="single" w:sz="4" w:space="0" w:color="auto"/>
            </w:tcBorders>
            <w:shd w:val="clear" w:color="000000" w:fill="F2DCDB"/>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Oldest kitchens/one-off replacements</w:t>
            </w:r>
            <w:r>
              <w:rPr>
                <w:rFonts w:eastAsia="Times New Roman"/>
                <w:color w:val="000000"/>
                <w:sz w:val="22"/>
                <w:szCs w:val="22"/>
                <w:lang w:eastAsia="en-GB"/>
              </w:rPr>
              <w:t xml:space="preserve"> Sutherland </w:t>
            </w:r>
            <w:r w:rsidRPr="003E5B1C">
              <w:rPr>
                <w:rFonts w:eastAsia="Times New Roman"/>
                <w:color w:val="000000"/>
                <w:sz w:val="22"/>
                <w:szCs w:val="22"/>
                <w:lang w:eastAsia="en-GB"/>
              </w:rPr>
              <w:t xml:space="preserve"> </w:t>
            </w:r>
          </w:p>
        </w:tc>
      </w:tr>
      <w:tr w:rsidR="003E5B1C" w:rsidRPr="003E5B1C" w:rsidTr="003E5B1C">
        <w:trPr>
          <w:trHeight w:val="300"/>
        </w:trPr>
        <w:tc>
          <w:tcPr>
            <w:tcW w:w="4737" w:type="dxa"/>
            <w:tcBorders>
              <w:top w:val="nil"/>
              <w:left w:val="single" w:sz="4" w:space="0" w:color="auto"/>
              <w:bottom w:val="single" w:sz="4" w:space="0" w:color="auto"/>
              <w:right w:val="single" w:sz="4" w:space="0" w:color="auto"/>
            </w:tcBorders>
            <w:shd w:val="clear" w:color="000000" w:fill="F2DCDB"/>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xml:space="preserve">Bathroom replacements </w:t>
            </w:r>
          </w:p>
        </w:tc>
        <w:tc>
          <w:tcPr>
            <w:tcW w:w="2088" w:type="dxa"/>
            <w:tcBorders>
              <w:top w:val="nil"/>
              <w:left w:val="nil"/>
              <w:bottom w:val="single" w:sz="4" w:space="0" w:color="auto"/>
              <w:right w:val="single" w:sz="4" w:space="0" w:color="auto"/>
            </w:tcBorders>
            <w:shd w:val="clear" w:color="000000" w:fill="F2DCDB"/>
            <w:noWrap/>
            <w:vAlign w:val="bottom"/>
            <w:hideMark/>
          </w:tcPr>
          <w:p w:rsidR="003E5B1C" w:rsidRPr="003E5B1C" w:rsidRDefault="003E5B1C" w:rsidP="003E5B1C">
            <w:pPr>
              <w:jc w:val="right"/>
              <w:rPr>
                <w:rFonts w:eastAsia="Times New Roman"/>
                <w:color w:val="000000"/>
                <w:sz w:val="22"/>
                <w:szCs w:val="22"/>
                <w:lang w:eastAsia="en-GB"/>
              </w:rPr>
            </w:pPr>
            <w:r w:rsidRPr="003E5B1C">
              <w:rPr>
                <w:rFonts w:eastAsia="Times New Roman"/>
                <w:color w:val="000000"/>
                <w:sz w:val="22"/>
                <w:szCs w:val="22"/>
                <w:lang w:eastAsia="en-GB"/>
              </w:rPr>
              <w:t>20</w:t>
            </w:r>
          </w:p>
        </w:tc>
        <w:tc>
          <w:tcPr>
            <w:tcW w:w="1475" w:type="dxa"/>
            <w:tcBorders>
              <w:top w:val="nil"/>
              <w:left w:val="nil"/>
              <w:bottom w:val="single" w:sz="4" w:space="0" w:color="auto"/>
              <w:right w:val="single" w:sz="4" w:space="0" w:color="auto"/>
            </w:tcBorders>
            <w:shd w:val="clear" w:color="000000" w:fill="F2DCDB"/>
            <w:noWrap/>
            <w:vAlign w:val="bottom"/>
            <w:hideMark/>
          </w:tcPr>
          <w:p w:rsidR="003E5B1C" w:rsidRPr="003E5B1C" w:rsidRDefault="003E5B1C" w:rsidP="003E5B1C">
            <w:pPr>
              <w:jc w:val="right"/>
              <w:rPr>
                <w:rFonts w:eastAsia="Times New Roman"/>
                <w:color w:val="000000"/>
                <w:sz w:val="22"/>
                <w:szCs w:val="22"/>
                <w:lang w:eastAsia="en-GB"/>
              </w:rPr>
            </w:pPr>
            <w:r w:rsidRPr="003E5B1C">
              <w:rPr>
                <w:rFonts w:eastAsia="Times New Roman"/>
                <w:color w:val="000000"/>
                <w:sz w:val="22"/>
                <w:szCs w:val="22"/>
                <w:lang w:eastAsia="en-GB"/>
              </w:rPr>
              <w:t>£100,000</w:t>
            </w:r>
          </w:p>
        </w:tc>
        <w:tc>
          <w:tcPr>
            <w:tcW w:w="6174" w:type="dxa"/>
            <w:tcBorders>
              <w:top w:val="nil"/>
              <w:left w:val="nil"/>
              <w:bottom w:val="single" w:sz="4" w:space="0" w:color="auto"/>
              <w:right w:val="single" w:sz="4" w:space="0" w:color="auto"/>
            </w:tcBorders>
            <w:shd w:val="clear" w:color="000000" w:fill="F2DCDB"/>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Oldest bathrooms/one-off replacements</w:t>
            </w:r>
            <w:r>
              <w:rPr>
                <w:rFonts w:eastAsia="Times New Roman"/>
                <w:color w:val="000000"/>
                <w:sz w:val="22"/>
                <w:szCs w:val="22"/>
                <w:lang w:eastAsia="en-GB"/>
              </w:rPr>
              <w:t xml:space="preserve"> Sutherland </w:t>
            </w:r>
            <w:r w:rsidRPr="003E5B1C">
              <w:rPr>
                <w:rFonts w:eastAsia="Times New Roman"/>
                <w:color w:val="000000"/>
                <w:sz w:val="22"/>
                <w:szCs w:val="22"/>
                <w:lang w:eastAsia="en-GB"/>
              </w:rPr>
              <w:t xml:space="preserve"> </w:t>
            </w:r>
          </w:p>
        </w:tc>
      </w:tr>
      <w:tr w:rsidR="003E5B1C" w:rsidRPr="003E5B1C" w:rsidTr="003E5B1C">
        <w:trPr>
          <w:trHeight w:val="300"/>
        </w:trPr>
        <w:tc>
          <w:tcPr>
            <w:tcW w:w="4737" w:type="dxa"/>
            <w:tcBorders>
              <w:top w:val="nil"/>
              <w:left w:val="single" w:sz="4" w:space="0" w:color="auto"/>
              <w:bottom w:val="single" w:sz="4" w:space="0" w:color="auto"/>
              <w:right w:val="single" w:sz="4" w:space="0" w:color="auto"/>
            </w:tcBorders>
            <w:shd w:val="clear" w:color="000000" w:fill="F2DCDB"/>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xml:space="preserve">Rewiring </w:t>
            </w:r>
          </w:p>
        </w:tc>
        <w:tc>
          <w:tcPr>
            <w:tcW w:w="2088" w:type="dxa"/>
            <w:tcBorders>
              <w:top w:val="nil"/>
              <w:left w:val="nil"/>
              <w:bottom w:val="single" w:sz="4" w:space="0" w:color="auto"/>
              <w:right w:val="single" w:sz="4" w:space="0" w:color="auto"/>
            </w:tcBorders>
            <w:shd w:val="clear" w:color="000000" w:fill="F2DCDB"/>
            <w:noWrap/>
            <w:vAlign w:val="bottom"/>
            <w:hideMark/>
          </w:tcPr>
          <w:p w:rsidR="003E5B1C" w:rsidRPr="003E5B1C" w:rsidRDefault="003E5B1C" w:rsidP="003E5B1C">
            <w:pPr>
              <w:jc w:val="right"/>
              <w:rPr>
                <w:rFonts w:eastAsia="Times New Roman"/>
                <w:color w:val="000000"/>
                <w:sz w:val="22"/>
                <w:szCs w:val="22"/>
                <w:lang w:eastAsia="en-GB"/>
              </w:rPr>
            </w:pPr>
            <w:r w:rsidRPr="003E5B1C">
              <w:rPr>
                <w:rFonts w:eastAsia="Times New Roman"/>
                <w:color w:val="000000"/>
                <w:sz w:val="22"/>
                <w:szCs w:val="22"/>
                <w:lang w:eastAsia="en-GB"/>
              </w:rPr>
              <w:t>8</w:t>
            </w:r>
          </w:p>
        </w:tc>
        <w:tc>
          <w:tcPr>
            <w:tcW w:w="1475" w:type="dxa"/>
            <w:tcBorders>
              <w:top w:val="nil"/>
              <w:left w:val="nil"/>
              <w:bottom w:val="single" w:sz="4" w:space="0" w:color="auto"/>
              <w:right w:val="single" w:sz="4" w:space="0" w:color="auto"/>
            </w:tcBorders>
            <w:shd w:val="clear" w:color="000000" w:fill="F2DCDB"/>
            <w:noWrap/>
            <w:vAlign w:val="bottom"/>
            <w:hideMark/>
          </w:tcPr>
          <w:p w:rsidR="003E5B1C" w:rsidRPr="003E5B1C" w:rsidRDefault="003E5B1C" w:rsidP="003E5B1C">
            <w:pPr>
              <w:jc w:val="right"/>
              <w:rPr>
                <w:rFonts w:eastAsia="Times New Roman"/>
                <w:color w:val="000000"/>
                <w:sz w:val="22"/>
                <w:szCs w:val="22"/>
                <w:lang w:eastAsia="en-GB"/>
              </w:rPr>
            </w:pPr>
            <w:r w:rsidRPr="003E5B1C">
              <w:rPr>
                <w:rFonts w:eastAsia="Times New Roman"/>
                <w:color w:val="000000"/>
                <w:sz w:val="22"/>
                <w:szCs w:val="22"/>
                <w:lang w:eastAsia="en-GB"/>
              </w:rPr>
              <w:t>£50,000</w:t>
            </w:r>
          </w:p>
        </w:tc>
        <w:tc>
          <w:tcPr>
            <w:tcW w:w="6174" w:type="dxa"/>
            <w:tcBorders>
              <w:top w:val="nil"/>
              <w:left w:val="nil"/>
              <w:bottom w:val="single" w:sz="4" w:space="0" w:color="auto"/>
              <w:right w:val="single" w:sz="4" w:space="0" w:color="auto"/>
            </w:tcBorders>
            <w:shd w:val="clear" w:color="000000" w:fill="F2DCDB"/>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Oldest rewires</w:t>
            </w:r>
            <w:r>
              <w:rPr>
                <w:rFonts w:eastAsia="Times New Roman"/>
                <w:color w:val="000000"/>
                <w:sz w:val="22"/>
                <w:szCs w:val="22"/>
                <w:lang w:eastAsia="en-GB"/>
              </w:rPr>
              <w:t xml:space="preserve"> Sutherland </w:t>
            </w:r>
            <w:r w:rsidRPr="003E5B1C">
              <w:rPr>
                <w:rFonts w:eastAsia="Times New Roman"/>
                <w:color w:val="000000"/>
                <w:sz w:val="22"/>
                <w:szCs w:val="22"/>
                <w:lang w:eastAsia="en-GB"/>
              </w:rPr>
              <w:t xml:space="preserve"> </w:t>
            </w:r>
          </w:p>
        </w:tc>
      </w:tr>
      <w:tr w:rsidR="003E5B1C" w:rsidRPr="003E5B1C" w:rsidTr="003E5B1C">
        <w:trPr>
          <w:trHeight w:val="300"/>
        </w:trPr>
        <w:tc>
          <w:tcPr>
            <w:tcW w:w="4737" w:type="dxa"/>
            <w:tcBorders>
              <w:top w:val="nil"/>
              <w:left w:val="single" w:sz="4" w:space="0" w:color="auto"/>
              <w:bottom w:val="single" w:sz="4" w:space="0" w:color="auto"/>
              <w:right w:val="single" w:sz="4" w:space="0" w:color="auto"/>
            </w:tcBorders>
            <w:shd w:val="clear" w:color="000000" w:fill="F2DCDB"/>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xml:space="preserve">Windows and doors replacements </w:t>
            </w:r>
          </w:p>
        </w:tc>
        <w:tc>
          <w:tcPr>
            <w:tcW w:w="2088" w:type="dxa"/>
            <w:tcBorders>
              <w:top w:val="nil"/>
              <w:left w:val="nil"/>
              <w:bottom w:val="single" w:sz="4" w:space="0" w:color="auto"/>
              <w:right w:val="single" w:sz="4" w:space="0" w:color="auto"/>
            </w:tcBorders>
            <w:shd w:val="clear" w:color="000000" w:fill="F2DCDB"/>
            <w:noWrap/>
            <w:vAlign w:val="bottom"/>
            <w:hideMark/>
          </w:tcPr>
          <w:p w:rsidR="003E5B1C" w:rsidRPr="003E5B1C" w:rsidRDefault="003E5B1C" w:rsidP="003E5B1C">
            <w:pPr>
              <w:jc w:val="right"/>
              <w:rPr>
                <w:rFonts w:eastAsia="Times New Roman"/>
                <w:color w:val="000000"/>
                <w:sz w:val="22"/>
                <w:szCs w:val="22"/>
                <w:lang w:eastAsia="en-GB"/>
              </w:rPr>
            </w:pPr>
            <w:r w:rsidRPr="003E5B1C">
              <w:rPr>
                <w:rFonts w:eastAsia="Times New Roman"/>
                <w:color w:val="000000"/>
                <w:sz w:val="22"/>
                <w:szCs w:val="22"/>
                <w:lang w:eastAsia="en-GB"/>
              </w:rPr>
              <w:t xml:space="preserve">on demand </w:t>
            </w:r>
          </w:p>
        </w:tc>
        <w:tc>
          <w:tcPr>
            <w:tcW w:w="1475" w:type="dxa"/>
            <w:tcBorders>
              <w:top w:val="nil"/>
              <w:left w:val="nil"/>
              <w:bottom w:val="single" w:sz="4" w:space="0" w:color="auto"/>
              <w:right w:val="single" w:sz="4" w:space="0" w:color="auto"/>
            </w:tcBorders>
            <w:shd w:val="clear" w:color="000000" w:fill="F2DCDB"/>
            <w:noWrap/>
            <w:vAlign w:val="bottom"/>
            <w:hideMark/>
          </w:tcPr>
          <w:p w:rsidR="003E5B1C" w:rsidRPr="003E5B1C" w:rsidRDefault="003E5B1C" w:rsidP="003E5B1C">
            <w:pPr>
              <w:jc w:val="right"/>
              <w:rPr>
                <w:rFonts w:eastAsia="Times New Roman"/>
                <w:color w:val="000000"/>
                <w:sz w:val="22"/>
                <w:szCs w:val="22"/>
                <w:lang w:eastAsia="en-GB"/>
              </w:rPr>
            </w:pPr>
            <w:r w:rsidRPr="003E5B1C">
              <w:rPr>
                <w:rFonts w:eastAsia="Times New Roman"/>
                <w:color w:val="000000"/>
                <w:sz w:val="22"/>
                <w:szCs w:val="22"/>
                <w:lang w:eastAsia="en-GB"/>
              </w:rPr>
              <w:t>£15,000</w:t>
            </w:r>
          </w:p>
        </w:tc>
        <w:tc>
          <w:tcPr>
            <w:tcW w:w="6174" w:type="dxa"/>
            <w:tcBorders>
              <w:top w:val="nil"/>
              <w:left w:val="nil"/>
              <w:bottom w:val="single" w:sz="4" w:space="0" w:color="auto"/>
              <w:right w:val="single" w:sz="4" w:space="0" w:color="auto"/>
            </w:tcBorders>
            <w:shd w:val="clear" w:color="000000" w:fill="F2DCDB"/>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One-off replacements</w:t>
            </w:r>
            <w:r>
              <w:rPr>
                <w:rFonts w:eastAsia="Times New Roman"/>
                <w:color w:val="000000"/>
                <w:sz w:val="22"/>
                <w:szCs w:val="22"/>
                <w:lang w:eastAsia="en-GB"/>
              </w:rPr>
              <w:t xml:space="preserve"> Sutherland </w:t>
            </w:r>
            <w:r w:rsidRPr="003E5B1C">
              <w:rPr>
                <w:rFonts w:eastAsia="Times New Roman"/>
                <w:color w:val="000000"/>
                <w:sz w:val="22"/>
                <w:szCs w:val="22"/>
                <w:lang w:eastAsia="en-GB"/>
              </w:rPr>
              <w:t xml:space="preserve"> </w:t>
            </w:r>
          </w:p>
        </w:tc>
      </w:tr>
      <w:tr w:rsidR="003E5B1C" w:rsidRPr="003E5B1C" w:rsidTr="003E5B1C">
        <w:trPr>
          <w:trHeight w:val="300"/>
        </w:trPr>
        <w:tc>
          <w:tcPr>
            <w:tcW w:w="4737" w:type="dxa"/>
            <w:tcBorders>
              <w:top w:val="nil"/>
              <w:left w:val="single" w:sz="4" w:space="0" w:color="auto"/>
              <w:bottom w:val="single" w:sz="4" w:space="0" w:color="auto"/>
              <w:right w:val="single" w:sz="4" w:space="0" w:color="auto"/>
            </w:tcBorders>
            <w:shd w:val="clear" w:color="000000" w:fill="DCE6F1"/>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xml:space="preserve">Heating/energy efficiency </w:t>
            </w:r>
          </w:p>
        </w:tc>
        <w:tc>
          <w:tcPr>
            <w:tcW w:w="2088" w:type="dxa"/>
            <w:tcBorders>
              <w:top w:val="nil"/>
              <w:left w:val="nil"/>
              <w:bottom w:val="single" w:sz="4" w:space="0" w:color="auto"/>
              <w:right w:val="single" w:sz="4" w:space="0" w:color="auto"/>
            </w:tcBorders>
            <w:shd w:val="clear" w:color="000000" w:fill="DCE6F1"/>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w:t>
            </w:r>
          </w:p>
        </w:tc>
        <w:tc>
          <w:tcPr>
            <w:tcW w:w="1475" w:type="dxa"/>
            <w:tcBorders>
              <w:top w:val="nil"/>
              <w:left w:val="nil"/>
              <w:bottom w:val="single" w:sz="4" w:space="0" w:color="auto"/>
              <w:right w:val="single" w:sz="4" w:space="0" w:color="auto"/>
            </w:tcBorders>
            <w:shd w:val="clear" w:color="000000" w:fill="DCE6F1"/>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w:t>
            </w:r>
          </w:p>
        </w:tc>
        <w:tc>
          <w:tcPr>
            <w:tcW w:w="6174" w:type="dxa"/>
            <w:tcBorders>
              <w:top w:val="nil"/>
              <w:left w:val="nil"/>
              <w:bottom w:val="single" w:sz="4" w:space="0" w:color="auto"/>
              <w:right w:val="single" w:sz="4" w:space="0" w:color="auto"/>
            </w:tcBorders>
            <w:shd w:val="clear" w:color="000000" w:fill="DCE6F1"/>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w:t>
            </w:r>
          </w:p>
        </w:tc>
      </w:tr>
      <w:tr w:rsidR="003E5B1C" w:rsidRPr="003E5B1C" w:rsidTr="003E5B1C">
        <w:trPr>
          <w:trHeight w:val="300"/>
        </w:trPr>
        <w:tc>
          <w:tcPr>
            <w:tcW w:w="4737" w:type="dxa"/>
            <w:tcBorders>
              <w:top w:val="nil"/>
              <w:left w:val="single" w:sz="4" w:space="0" w:color="auto"/>
              <w:bottom w:val="single" w:sz="4" w:space="0" w:color="auto"/>
              <w:right w:val="single" w:sz="4" w:space="0" w:color="auto"/>
            </w:tcBorders>
            <w:shd w:val="clear" w:color="000000" w:fill="F2DCDB"/>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xml:space="preserve">One-off heating replacements </w:t>
            </w:r>
          </w:p>
        </w:tc>
        <w:tc>
          <w:tcPr>
            <w:tcW w:w="2088" w:type="dxa"/>
            <w:tcBorders>
              <w:top w:val="nil"/>
              <w:left w:val="nil"/>
              <w:bottom w:val="single" w:sz="4" w:space="0" w:color="auto"/>
              <w:right w:val="single" w:sz="4" w:space="0" w:color="auto"/>
            </w:tcBorders>
            <w:shd w:val="clear" w:color="000000" w:fill="F2DCDB"/>
            <w:noWrap/>
            <w:vAlign w:val="bottom"/>
            <w:hideMark/>
          </w:tcPr>
          <w:p w:rsidR="003E5B1C" w:rsidRPr="003E5B1C" w:rsidRDefault="003E5B1C" w:rsidP="003E5B1C">
            <w:pPr>
              <w:jc w:val="right"/>
              <w:rPr>
                <w:rFonts w:eastAsia="Times New Roman"/>
                <w:color w:val="000000"/>
                <w:sz w:val="22"/>
                <w:szCs w:val="22"/>
                <w:lang w:eastAsia="en-GB"/>
              </w:rPr>
            </w:pPr>
            <w:r w:rsidRPr="003E5B1C">
              <w:rPr>
                <w:rFonts w:eastAsia="Times New Roman"/>
                <w:color w:val="000000"/>
                <w:sz w:val="22"/>
                <w:szCs w:val="22"/>
                <w:lang w:eastAsia="en-GB"/>
              </w:rPr>
              <w:t xml:space="preserve">on demand </w:t>
            </w:r>
          </w:p>
        </w:tc>
        <w:tc>
          <w:tcPr>
            <w:tcW w:w="1475" w:type="dxa"/>
            <w:tcBorders>
              <w:top w:val="nil"/>
              <w:left w:val="nil"/>
              <w:bottom w:val="single" w:sz="4" w:space="0" w:color="auto"/>
              <w:right w:val="single" w:sz="4" w:space="0" w:color="auto"/>
            </w:tcBorders>
            <w:shd w:val="clear" w:color="000000" w:fill="F2DCDB"/>
            <w:noWrap/>
            <w:vAlign w:val="bottom"/>
            <w:hideMark/>
          </w:tcPr>
          <w:p w:rsidR="003E5B1C" w:rsidRPr="003E5B1C" w:rsidRDefault="003E5B1C" w:rsidP="003E5B1C">
            <w:pPr>
              <w:jc w:val="right"/>
              <w:rPr>
                <w:rFonts w:eastAsia="Times New Roman"/>
                <w:color w:val="000000"/>
                <w:sz w:val="22"/>
                <w:szCs w:val="22"/>
                <w:lang w:eastAsia="en-GB"/>
              </w:rPr>
            </w:pPr>
            <w:r w:rsidRPr="003E5B1C">
              <w:rPr>
                <w:rFonts w:eastAsia="Times New Roman"/>
                <w:color w:val="000000"/>
                <w:sz w:val="22"/>
                <w:szCs w:val="22"/>
                <w:lang w:eastAsia="en-GB"/>
              </w:rPr>
              <w:t>£70,000</w:t>
            </w:r>
          </w:p>
        </w:tc>
        <w:tc>
          <w:tcPr>
            <w:tcW w:w="6174" w:type="dxa"/>
            <w:tcBorders>
              <w:top w:val="nil"/>
              <w:left w:val="nil"/>
              <w:bottom w:val="single" w:sz="4" w:space="0" w:color="auto"/>
              <w:right w:val="single" w:sz="4" w:space="0" w:color="auto"/>
            </w:tcBorders>
            <w:shd w:val="clear" w:color="000000" w:fill="F2DCDB"/>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One-off heating replacements</w:t>
            </w:r>
            <w:r>
              <w:rPr>
                <w:rFonts w:eastAsia="Times New Roman"/>
                <w:color w:val="000000"/>
                <w:sz w:val="22"/>
                <w:szCs w:val="22"/>
                <w:lang w:eastAsia="en-GB"/>
              </w:rPr>
              <w:t xml:space="preserve"> Sutherland </w:t>
            </w:r>
          </w:p>
        </w:tc>
      </w:tr>
      <w:tr w:rsidR="003E5B1C" w:rsidRPr="003E5B1C" w:rsidTr="003E5B1C">
        <w:trPr>
          <w:trHeight w:val="300"/>
        </w:trPr>
        <w:tc>
          <w:tcPr>
            <w:tcW w:w="4737" w:type="dxa"/>
            <w:tcBorders>
              <w:top w:val="nil"/>
              <w:left w:val="single" w:sz="4" w:space="0" w:color="auto"/>
              <w:bottom w:val="single" w:sz="4" w:space="0" w:color="auto"/>
              <w:right w:val="single" w:sz="4" w:space="0" w:color="auto"/>
            </w:tcBorders>
            <w:shd w:val="clear" w:color="000000" w:fill="F2DCDB"/>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xml:space="preserve">Heating replacements </w:t>
            </w:r>
          </w:p>
        </w:tc>
        <w:tc>
          <w:tcPr>
            <w:tcW w:w="2088" w:type="dxa"/>
            <w:tcBorders>
              <w:top w:val="nil"/>
              <w:left w:val="nil"/>
              <w:bottom w:val="single" w:sz="4" w:space="0" w:color="auto"/>
              <w:right w:val="single" w:sz="4" w:space="0" w:color="auto"/>
            </w:tcBorders>
            <w:shd w:val="clear" w:color="000000" w:fill="F2DCDB"/>
            <w:noWrap/>
            <w:vAlign w:val="bottom"/>
            <w:hideMark/>
          </w:tcPr>
          <w:p w:rsidR="003E5B1C" w:rsidRPr="003E5B1C" w:rsidRDefault="003E5B1C" w:rsidP="003E5B1C">
            <w:pPr>
              <w:jc w:val="right"/>
              <w:rPr>
                <w:rFonts w:eastAsia="Times New Roman"/>
                <w:color w:val="000000"/>
                <w:sz w:val="22"/>
                <w:szCs w:val="22"/>
                <w:lang w:eastAsia="en-GB"/>
              </w:rPr>
            </w:pPr>
            <w:r w:rsidRPr="003E5B1C">
              <w:rPr>
                <w:rFonts w:eastAsia="Times New Roman"/>
                <w:color w:val="000000"/>
                <w:sz w:val="22"/>
                <w:szCs w:val="22"/>
                <w:lang w:eastAsia="en-GB"/>
              </w:rPr>
              <w:t>10</w:t>
            </w:r>
          </w:p>
        </w:tc>
        <w:tc>
          <w:tcPr>
            <w:tcW w:w="1475" w:type="dxa"/>
            <w:tcBorders>
              <w:top w:val="nil"/>
              <w:left w:val="nil"/>
              <w:bottom w:val="single" w:sz="4" w:space="0" w:color="auto"/>
              <w:right w:val="single" w:sz="4" w:space="0" w:color="auto"/>
            </w:tcBorders>
            <w:shd w:val="clear" w:color="000000" w:fill="F2DCDB"/>
            <w:noWrap/>
            <w:vAlign w:val="bottom"/>
            <w:hideMark/>
          </w:tcPr>
          <w:p w:rsidR="003E5B1C" w:rsidRPr="003E5B1C" w:rsidRDefault="003E5B1C" w:rsidP="003E5B1C">
            <w:pPr>
              <w:jc w:val="right"/>
              <w:rPr>
                <w:rFonts w:eastAsia="Times New Roman"/>
                <w:color w:val="000000"/>
                <w:sz w:val="22"/>
                <w:szCs w:val="22"/>
                <w:lang w:eastAsia="en-GB"/>
              </w:rPr>
            </w:pPr>
            <w:r w:rsidRPr="003E5B1C">
              <w:rPr>
                <w:rFonts w:eastAsia="Times New Roman"/>
                <w:color w:val="000000"/>
                <w:sz w:val="22"/>
                <w:szCs w:val="22"/>
                <w:lang w:eastAsia="en-GB"/>
              </w:rPr>
              <w:t>£80,000</w:t>
            </w:r>
          </w:p>
        </w:tc>
        <w:tc>
          <w:tcPr>
            <w:tcW w:w="6174" w:type="dxa"/>
            <w:tcBorders>
              <w:top w:val="nil"/>
              <w:left w:val="nil"/>
              <w:bottom w:val="single" w:sz="4" w:space="0" w:color="auto"/>
              <w:right w:val="single" w:sz="4" w:space="0" w:color="auto"/>
            </w:tcBorders>
            <w:shd w:val="clear" w:color="000000" w:fill="F2DCDB"/>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Oldest inefficient systems</w:t>
            </w:r>
            <w:r>
              <w:rPr>
                <w:rFonts w:eastAsia="Times New Roman"/>
                <w:color w:val="000000"/>
                <w:sz w:val="22"/>
                <w:szCs w:val="22"/>
                <w:lang w:eastAsia="en-GB"/>
              </w:rPr>
              <w:t xml:space="preserve"> Sutherland </w:t>
            </w:r>
            <w:r w:rsidRPr="003E5B1C">
              <w:rPr>
                <w:rFonts w:eastAsia="Times New Roman"/>
                <w:color w:val="000000"/>
                <w:sz w:val="22"/>
                <w:szCs w:val="22"/>
                <w:lang w:eastAsia="en-GB"/>
              </w:rPr>
              <w:t xml:space="preserve"> </w:t>
            </w:r>
          </w:p>
        </w:tc>
      </w:tr>
      <w:tr w:rsidR="003E5B1C" w:rsidRPr="003E5B1C" w:rsidTr="003E5B1C">
        <w:trPr>
          <w:trHeight w:val="300"/>
        </w:trPr>
        <w:tc>
          <w:tcPr>
            <w:tcW w:w="4737" w:type="dxa"/>
            <w:tcBorders>
              <w:top w:val="nil"/>
              <w:left w:val="single" w:sz="4" w:space="0" w:color="auto"/>
              <w:bottom w:val="single" w:sz="4" w:space="0" w:color="auto"/>
              <w:right w:val="single" w:sz="4" w:space="0" w:color="auto"/>
            </w:tcBorders>
            <w:shd w:val="clear" w:color="000000" w:fill="F2DCDB"/>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xml:space="preserve">External Insulation </w:t>
            </w:r>
          </w:p>
        </w:tc>
        <w:tc>
          <w:tcPr>
            <w:tcW w:w="2088" w:type="dxa"/>
            <w:tcBorders>
              <w:top w:val="nil"/>
              <w:left w:val="nil"/>
              <w:bottom w:val="single" w:sz="4" w:space="0" w:color="auto"/>
              <w:right w:val="single" w:sz="4" w:space="0" w:color="auto"/>
            </w:tcBorders>
            <w:shd w:val="clear" w:color="000000" w:fill="F2DCDB"/>
            <w:noWrap/>
            <w:vAlign w:val="bottom"/>
            <w:hideMark/>
          </w:tcPr>
          <w:p w:rsidR="003E5B1C" w:rsidRPr="003E5B1C" w:rsidRDefault="003E5B1C" w:rsidP="003E5B1C">
            <w:pPr>
              <w:jc w:val="right"/>
              <w:rPr>
                <w:rFonts w:eastAsia="Times New Roman"/>
                <w:color w:val="000000"/>
                <w:sz w:val="22"/>
                <w:szCs w:val="22"/>
                <w:lang w:eastAsia="en-GB"/>
              </w:rPr>
            </w:pPr>
            <w:r w:rsidRPr="003E5B1C">
              <w:rPr>
                <w:rFonts w:eastAsia="Times New Roman"/>
                <w:color w:val="000000"/>
                <w:sz w:val="22"/>
                <w:szCs w:val="22"/>
                <w:lang w:eastAsia="en-GB"/>
              </w:rPr>
              <w:t>21</w:t>
            </w:r>
          </w:p>
        </w:tc>
        <w:tc>
          <w:tcPr>
            <w:tcW w:w="1475" w:type="dxa"/>
            <w:tcBorders>
              <w:top w:val="nil"/>
              <w:left w:val="nil"/>
              <w:bottom w:val="single" w:sz="4" w:space="0" w:color="auto"/>
              <w:right w:val="single" w:sz="4" w:space="0" w:color="auto"/>
            </w:tcBorders>
            <w:shd w:val="clear" w:color="000000" w:fill="F2DCDB"/>
            <w:noWrap/>
            <w:vAlign w:val="bottom"/>
            <w:hideMark/>
          </w:tcPr>
          <w:p w:rsidR="003E5B1C" w:rsidRPr="003E5B1C" w:rsidRDefault="003E5B1C" w:rsidP="003E5B1C">
            <w:pPr>
              <w:jc w:val="right"/>
              <w:rPr>
                <w:rFonts w:eastAsia="Times New Roman"/>
                <w:color w:val="000000"/>
                <w:sz w:val="22"/>
                <w:szCs w:val="22"/>
                <w:lang w:eastAsia="en-GB"/>
              </w:rPr>
            </w:pPr>
            <w:r w:rsidRPr="003E5B1C">
              <w:rPr>
                <w:rFonts w:eastAsia="Times New Roman"/>
                <w:color w:val="000000"/>
                <w:sz w:val="22"/>
                <w:szCs w:val="22"/>
                <w:lang w:eastAsia="en-GB"/>
              </w:rPr>
              <w:t>£300,000</w:t>
            </w:r>
          </w:p>
        </w:tc>
        <w:tc>
          <w:tcPr>
            <w:tcW w:w="6174" w:type="dxa"/>
            <w:tcBorders>
              <w:top w:val="nil"/>
              <w:left w:val="nil"/>
              <w:bottom w:val="single" w:sz="4" w:space="0" w:color="auto"/>
              <w:right w:val="single" w:sz="4" w:space="0" w:color="auto"/>
            </w:tcBorders>
            <w:shd w:val="clear" w:color="000000" w:fill="F2DCDB"/>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External Insulation works</w:t>
            </w:r>
            <w:r>
              <w:rPr>
                <w:rFonts w:eastAsia="Times New Roman"/>
                <w:color w:val="000000"/>
                <w:sz w:val="22"/>
                <w:szCs w:val="22"/>
                <w:lang w:eastAsia="en-GB"/>
              </w:rPr>
              <w:t xml:space="preserve"> Sutherland </w:t>
            </w:r>
            <w:r w:rsidRPr="003E5B1C">
              <w:rPr>
                <w:rFonts w:eastAsia="Times New Roman"/>
                <w:color w:val="000000"/>
                <w:sz w:val="22"/>
                <w:szCs w:val="22"/>
                <w:lang w:eastAsia="en-GB"/>
              </w:rPr>
              <w:t xml:space="preserve"> </w:t>
            </w:r>
          </w:p>
        </w:tc>
      </w:tr>
      <w:tr w:rsidR="003E5B1C" w:rsidRPr="003E5B1C" w:rsidTr="003E5B1C">
        <w:trPr>
          <w:trHeight w:val="300"/>
        </w:trPr>
        <w:tc>
          <w:tcPr>
            <w:tcW w:w="4737" w:type="dxa"/>
            <w:tcBorders>
              <w:top w:val="nil"/>
              <w:left w:val="single" w:sz="4" w:space="0" w:color="auto"/>
              <w:bottom w:val="single" w:sz="4" w:space="0" w:color="auto"/>
              <w:right w:val="single" w:sz="4" w:space="0" w:color="auto"/>
            </w:tcBorders>
            <w:shd w:val="clear" w:color="000000" w:fill="DCE6F1"/>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External Fabric (major component replacement)</w:t>
            </w:r>
          </w:p>
        </w:tc>
        <w:tc>
          <w:tcPr>
            <w:tcW w:w="2088" w:type="dxa"/>
            <w:tcBorders>
              <w:top w:val="nil"/>
              <w:left w:val="nil"/>
              <w:bottom w:val="single" w:sz="4" w:space="0" w:color="auto"/>
              <w:right w:val="single" w:sz="4" w:space="0" w:color="auto"/>
            </w:tcBorders>
            <w:shd w:val="clear" w:color="000000" w:fill="DCE6F1"/>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w:t>
            </w:r>
          </w:p>
        </w:tc>
        <w:tc>
          <w:tcPr>
            <w:tcW w:w="1475" w:type="dxa"/>
            <w:tcBorders>
              <w:top w:val="nil"/>
              <w:left w:val="nil"/>
              <w:bottom w:val="single" w:sz="4" w:space="0" w:color="auto"/>
              <w:right w:val="single" w:sz="4" w:space="0" w:color="auto"/>
            </w:tcBorders>
            <w:shd w:val="clear" w:color="000000" w:fill="DCE6F1"/>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w:t>
            </w:r>
          </w:p>
        </w:tc>
        <w:tc>
          <w:tcPr>
            <w:tcW w:w="6174" w:type="dxa"/>
            <w:tcBorders>
              <w:top w:val="nil"/>
              <w:left w:val="nil"/>
              <w:bottom w:val="single" w:sz="4" w:space="0" w:color="auto"/>
              <w:right w:val="single" w:sz="4" w:space="0" w:color="auto"/>
            </w:tcBorders>
            <w:shd w:val="clear" w:color="000000" w:fill="DCE6F1"/>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w:t>
            </w:r>
          </w:p>
        </w:tc>
      </w:tr>
      <w:tr w:rsidR="003E5B1C" w:rsidRPr="003E5B1C" w:rsidTr="003E5B1C">
        <w:trPr>
          <w:trHeight w:val="300"/>
        </w:trPr>
        <w:tc>
          <w:tcPr>
            <w:tcW w:w="4737" w:type="dxa"/>
            <w:tcBorders>
              <w:top w:val="nil"/>
              <w:left w:val="single" w:sz="4" w:space="0" w:color="auto"/>
              <w:bottom w:val="single" w:sz="4" w:space="0" w:color="auto"/>
              <w:right w:val="single" w:sz="4" w:space="0" w:color="auto"/>
            </w:tcBorders>
            <w:shd w:val="clear" w:color="000000" w:fill="F2DCDB"/>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xml:space="preserve">External fabric works </w:t>
            </w:r>
          </w:p>
        </w:tc>
        <w:tc>
          <w:tcPr>
            <w:tcW w:w="2088" w:type="dxa"/>
            <w:tcBorders>
              <w:top w:val="nil"/>
              <w:left w:val="nil"/>
              <w:bottom w:val="single" w:sz="4" w:space="0" w:color="auto"/>
              <w:right w:val="single" w:sz="4" w:space="0" w:color="auto"/>
            </w:tcBorders>
            <w:shd w:val="clear" w:color="000000" w:fill="F2DCDB"/>
            <w:noWrap/>
            <w:vAlign w:val="bottom"/>
            <w:hideMark/>
          </w:tcPr>
          <w:p w:rsidR="003E5B1C" w:rsidRPr="003E5B1C" w:rsidRDefault="003E5B1C" w:rsidP="003E5B1C">
            <w:pPr>
              <w:jc w:val="right"/>
              <w:rPr>
                <w:rFonts w:eastAsia="Times New Roman"/>
                <w:color w:val="000000"/>
                <w:sz w:val="22"/>
                <w:szCs w:val="22"/>
                <w:lang w:eastAsia="en-GB"/>
              </w:rPr>
            </w:pPr>
            <w:r w:rsidRPr="003E5B1C">
              <w:rPr>
                <w:rFonts w:eastAsia="Times New Roman"/>
                <w:color w:val="000000"/>
                <w:sz w:val="22"/>
                <w:szCs w:val="22"/>
                <w:lang w:eastAsia="en-GB"/>
              </w:rPr>
              <w:t xml:space="preserve">on demand </w:t>
            </w:r>
          </w:p>
        </w:tc>
        <w:tc>
          <w:tcPr>
            <w:tcW w:w="1475" w:type="dxa"/>
            <w:tcBorders>
              <w:top w:val="nil"/>
              <w:left w:val="nil"/>
              <w:bottom w:val="single" w:sz="4" w:space="0" w:color="auto"/>
              <w:right w:val="single" w:sz="4" w:space="0" w:color="auto"/>
            </w:tcBorders>
            <w:shd w:val="clear" w:color="000000" w:fill="F2DCDB"/>
            <w:noWrap/>
            <w:vAlign w:val="bottom"/>
            <w:hideMark/>
          </w:tcPr>
          <w:p w:rsidR="003E5B1C" w:rsidRPr="003E5B1C" w:rsidRDefault="003E5B1C" w:rsidP="003E5B1C">
            <w:pPr>
              <w:jc w:val="right"/>
              <w:rPr>
                <w:rFonts w:eastAsia="Times New Roman"/>
                <w:color w:val="000000"/>
                <w:sz w:val="22"/>
                <w:szCs w:val="22"/>
                <w:lang w:eastAsia="en-GB"/>
              </w:rPr>
            </w:pPr>
            <w:r w:rsidRPr="003E5B1C">
              <w:rPr>
                <w:rFonts w:eastAsia="Times New Roman"/>
                <w:color w:val="000000"/>
                <w:sz w:val="22"/>
                <w:szCs w:val="22"/>
                <w:lang w:eastAsia="en-GB"/>
              </w:rPr>
              <w:t>£23,177</w:t>
            </w:r>
          </w:p>
        </w:tc>
        <w:tc>
          <w:tcPr>
            <w:tcW w:w="6174" w:type="dxa"/>
            <w:tcBorders>
              <w:top w:val="nil"/>
              <w:left w:val="nil"/>
              <w:bottom w:val="single" w:sz="4" w:space="0" w:color="auto"/>
              <w:right w:val="single" w:sz="4" w:space="0" w:color="auto"/>
            </w:tcBorders>
            <w:shd w:val="clear" w:color="000000" w:fill="F2DCDB"/>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xml:space="preserve">On demand works (harling, render, </w:t>
            </w:r>
            <w:proofErr w:type="spellStart"/>
            <w:r w:rsidRPr="003E5B1C">
              <w:rPr>
                <w:rFonts w:eastAsia="Times New Roman"/>
                <w:color w:val="000000"/>
                <w:sz w:val="22"/>
                <w:szCs w:val="22"/>
                <w:lang w:eastAsia="en-GB"/>
              </w:rPr>
              <w:t>etc</w:t>
            </w:r>
            <w:proofErr w:type="spellEnd"/>
            <w:r w:rsidRPr="003E5B1C">
              <w:rPr>
                <w:rFonts w:eastAsia="Times New Roman"/>
                <w:color w:val="000000"/>
                <w:sz w:val="22"/>
                <w:szCs w:val="22"/>
                <w:lang w:eastAsia="en-GB"/>
              </w:rPr>
              <w:t>)</w:t>
            </w:r>
            <w:r>
              <w:rPr>
                <w:rFonts w:eastAsia="Times New Roman"/>
                <w:color w:val="000000"/>
                <w:sz w:val="22"/>
                <w:szCs w:val="22"/>
                <w:lang w:eastAsia="en-GB"/>
              </w:rPr>
              <w:t xml:space="preserve"> Sutherland </w:t>
            </w:r>
          </w:p>
        </w:tc>
      </w:tr>
      <w:tr w:rsidR="003E5B1C" w:rsidRPr="003E5B1C" w:rsidTr="003E5B1C">
        <w:trPr>
          <w:trHeight w:val="300"/>
        </w:trPr>
        <w:tc>
          <w:tcPr>
            <w:tcW w:w="4737" w:type="dxa"/>
            <w:tcBorders>
              <w:top w:val="nil"/>
              <w:left w:val="single" w:sz="4" w:space="0" w:color="auto"/>
              <w:bottom w:val="single" w:sz="4" w:space="0" w:color="auto"/>
              <w:right w:val="single" w:sz="4" w:space="0" w:color="auto"/>
            </w:tcBorders>
            <w:shd w:val="clear" w:color="000000" w:fill="DCE6F1"/>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xml:space="preserve">External fabric (environmental improvements) </w:t>
            </w:r>
          </w:p>
        </w:tc>
        <w:tc>
          <w:tcPr>
            <w:tcW w:w="2088" w:type="dxa"/>
            <w:tcBorders>
              <w:top w:val="nil"/>
              <w:left w:val="nil"/>
              <w:bottom w:val="single" w:sz="4" w:space="0" w:color="auto"/>
              <w:right w:val="single" w:sz="4" w:space="0" w:color="auto"/>
            </w:tcBorders>
            <w:shd w:val="clear" w:color="000000" w:fill="DCE6F1"/>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w:t>
            </w:r>
          </w:p>
        </w:tc>
        <w:tc>
          <w:tcPr>
            <w:tcW w:w="1475" w:type="dxa"/>
            <w:tcBorders>
              <w:top w:val="nil"/>
              <w:left w:val="nil"/>
              <w:bottom w:val="single" w:sz="4" w:space="0" w:color="auto"/>
              <w:right w:val="single" w:sz="4" w:space="0" w:color="auto"/>
            </w:tcBorders>
            <w:shd w:val="clear" w:color="000000" w:fill="DCE6F1"/>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w:t>
            </w:r>
          </w:p>
        </w:tc>
        <w:tc>
          <w:tcPr>
            <w:tcW w:w="6174" w:type="dxa"/>
            <w:tcBorders>
              <w:top w:val="nil"/>
              <w:left w:val="nil"/>
              <w:bottom w:val="single" w:sz="4" w:space="0" w:color="auto"/>
              <w:right w:val="single" w:sz="4" w:space="0" w:color="auto"/>
            </w:tcBorders>
            <w:shd w:val="clear" w:color="000000" w:fill="DCE6F1"/>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w:t>
            </w:r>
          </w:p>
        </w:tc>
      </w:tr>
      <w:tr w:rsidR="003E5B1C" w:rsidRPr="003E5B1C" w:rsidTr="003E5B1C">
        <w:trPr>
          <w:trHeight w:val="300"/>
        </w:trPr>
        <w:tc>
          <w:tcPr>
            <w:tcW w:w="4737" w:type="dxa"/>
            <w:tcBorders>
              <w:top w:val="nil"/>
              <w:left w:val="single" w:sz="4" w:space="0" w:color="auto"/>
              <w:bottom w:val="single" w:sz="4" w:space="0" w:color="auto"/>
              <w:right w:val="single" w:sz="4" w:space="0" w:color="auto"/>
            </w:tcBorders>
            <w:shd w:val="clear" w:color="000000" w:fill="F2DCDB"/>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xml:space="preserve">Environmental Improvements Sutherland </w:t>
            </w:r>
          </w:p>
        </w:tc>
        <w:tc>
          <w:tcPr>
            <w:tcW w:w="2088" w:type="dxa"/>
            <w:tcBorders>
              <w:top w:val="nil"/>
              <w:left w:val="nil"/>
              <w:bottom w:val="single" w:sz="4" w:space="0" w:color="auto"/>
              <w:right w:val="single" w:sz="4" w:space="0" w:color="auto"/>
            </w:tcBorders>
            <w:shd w:val="clear" w:color="000000" w:fill="F2DCDB"/>
            <w:noWrap/>
            <w:vAlign w:val="bottom"/>
            <w:hideMark/>
          </w:tcPr>
          <w:p w:rsidR="003E5B1C" w:rsidRPr="003E5B1C" w:rsidRDefault="003E5B1C" w:rsidP="003E5B1C">
            <w:pPr>
              <w:jc w:val="right"/>
              <w:rPr>
                <w:rFonts w:eastAsia="Times New Roman"/>
                <w:color w:val="000000"/>
                <w:sz w:val="22"/>
                <w:szCs w:val="22"/>
                <w:lang w:eastAsia="en-GB"/>
              </w:rPr>
            </w:pPr>
            <w:r w:rsidRPr="003E5B1C">
              <w:rPr>
                <w:rFonts w:eastAsia="Times New Roman"/>
                <w:color w:val="000000"/>
                <w:sz w:val="22"/>
                <w:szCs w:val="22"/>
                <w:lang w:eastAsia="en-GB"/>
              </w:rPr>
              <w:t xml:space="preserve">Member led </w:t>
            </w:r>
          </w:p>
        </w:tc>
        <w:tc>
          <w:tcPr>
            <w:tcW w:w="1475" w:type="dxa"/>
            <w:tcBorders>
              <w:top w:val="nil"/>
              <w:left w:val="nil"/>
              <w:bottom w:val="single" w:sz="4" w:space="0" w:color="auto"/>
              <w:right w:val="single" w:sz="4" w:space="0" w:color="auto"/>
            </w:tcBorders>
            <w:shd w:val="clear" w:color="000000" w:fill="F2DCDB"/>
            <w:noWrap/>
            <w:vAlign w:val="bottom"/>
            <w:hideMark/>
          </w:tcPr>
          <w:p w:rsidR="003E5B1C" w:rsidRPr="003E5B1C" w:rsidRDefault="003E5B1C" w:rsidP="003E5B1C">
            <w:pPr>
              <w:jc w:val="right"/>
              <w:rPr>
                <w:rFonts w:eastAsia="Times New Roman"/>
                <w:color w:val="000000"/>
                <w:sz w:val="22"/>
                <w:szCs w:val="22"/>
                <w:lang w:eastAsia="en-GB"/>
              </w:rPr>
            </w:pPr>
            <w:r w:rsidRPr="003E5B1C">
              <w:rPr>
                <w:rFonts w:eastAsia="Times New Roman"/>
                <w:color w:val="000000"/>
                <w:sz w:val="22"/>
                <w:szCs w:val="22"/>
                <w:lang w:eastAsia="en-GB"/>
              </w:rPr>
              <w:t>£48,956</w:t>
            </w:r>
          </w:p>
        </w:tc>
        <w:tc>
          <w:tcPr>
            <w:tcW w:w="6174" w:type="dxa"/>
            <w:tcBorders>
              <w:top w:val="nil"/>
              <w:left w:val="nil"/>
              <w:bottom w:val="single" w:sz="4" w:space="0" w:color="auto"/>
              <w:right w:val="single" w:sz="4" w:space="0" w:color="auto"/>
            </w:tcBorders>
            <w:shd w:val="clear" w:color="000000" w:fill="F2DCDB"/>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xml:space="preserve">Member led budget </w:t>
            </w:r>
          </w:p>
        </w:tc>
      </w:tr>
      <w:tr w:rsidR="003E5B1C" w:rsidRPr="003E5B1C" w:rsidTr="003E5B1C">
        <w:trPr>
          <w:trHeight w:val="300"/>
        </w:trPr>
        <w:tc>
          <w:tcPr>
            <w:tcW w:w="4737" w:type="dxa"/>
            <w:tcBorders>
              <w:top w:val="nil"/>
              <w:left w:val="single" w:sz="4" w:space="0" w:color="auto"/>
              <w:bottom w:val="single" w:sz="4" w:space="0" w:color="auto"/>
              <w:right w:val="single" w:sz="4" w:space="0" w:color="auto"/>
            </w:tcBorders>
            <w:shd w:val="clear" w:color="auto" w:fill="auto"/>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w:t>
            </w:r>
          </w:p>
        </w:tc>
        <w:tc>
          <w:tcPr>
            <w:tcW w:w="2088" w:type="dxa"/>
            <w:tcBorders>
              <w:top w:val="nil"/>
              <w:left w:val="nil"/>
              <w:bottom w:val="single" w:sz="4" w:space="0" w:color="auto"/>
              <w:right w:val="single" w:sz="4" w:space="0" w:color="auto"/>
            </w:tcBorders>
            <w:shd w:val="clear" w:color="auto" w:fill="auto"/>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w:t>
            </w:r>
          </w:p>
        </w:tc>
        <w:tc>
          <w:tcPr>
            <w:tcW w:w="1475" w:type="dxa"/>
            <w:tcBorders>
              <w:top w:val="nil"/>
              <w:left w:val="nil"/>
              <w:bottom w:val="single" w:sz="4" w:space="0" w:color="auto"/>
              <w:right w:val="single" w:sz="4" w:space="0" w:color="auto"/>
            </w:tcBorders>
            <w:shd w:val="clear" w:color="auto" w:fill="auto"/>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w:t>
            </w:r>
          </w:p>
        </w:tc>
        <w:tc>
          <w:tcPr>
            <w:tcW w:w="6174" w:type="dxa"/>
            <w:tcBorders>
              <w:top w:val="nil"/>
              <w:left w:val="nil"/>
              <w:bottom w:val="single" w:sz="4" w:space="0" w:color="auto"/>
              <w:right w:val="single" w:sz="4" w:space="0" w:color="auto"/>
            </w:tcBorders>
            <w:shd w:val="clear" w:color="auto" w:fill="auto"/>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w:t>
            </w:r>
          </w:p>
        </w:tc>
      </w:tr>
      <w:tr w:rsidR="003E5B1C" w:rsidRPr="003E5B1C" w:rsidTr="003E5B1C">
        <w:trPr>
          <w:trHeight w:val="300"/>
        </w:trPr>
        <w:tc>
          <w:tcPr>
            <w:tcW w:w="4737" w:type="dxa"/>
            <w:tcBorders>
              <w:top w:val="nil"/>
              <w:left w:val="single" w:sz="4" w:space="0" w:color="auto"/>
              <w:bottom w:val="single" w:sz="4" w:space="0" w:color="auto"/>
              <w:right w:val="single" w:sz="4" w:space="0" w:color="auto"/>
            </w:tcBorders>
            <w:shd w:val="clear" w:color="auto" w:fill="auto"/>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xml:space="preserve">Overall programme total </w:t>
            </w:r>
          </w:p>
        </w:tc>
        <w:tc>
          <w:tcPr>
            <w:tcW w:w="2088" w:type="dxa"/>
            <w:tcBorders>
              <w:top w:val="nil"/>
              <w:left w:val="nil"/>
              <w:bottom w:val="single" w:sz="4" w:space="0" w:color="auto"/>
              <w:right w:val="single" w:sz="4" w:space="0" w:color="auto"/>
            </w:tcBorders>
            <w:shd w:val="clear" w:color="auto" w:fill="auto"/>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w:t>
            </w:r>
          </w:p>
        </w:tc>
        <w:tc>
          <w:tcPr>
            <w:tcW w:w="1475" w:type="dxa"/>
            <w:tcBorders>
              <w:top w:val="nil"/>
              <w:left w:val="nil"/>
              <w:bottom w:val="single" w:sz="4" w:space="0" w:color="auto"/>
              <w:right w:val="single" w:sz="4" w:space="0" w:color="auto"/>
            </w:tcBorders>
            <w:shd w:val="clear" w:color="auto" w:fill="auto"/>
            <w:noWrap/>
            <w:vAlign w:val="bottom"/>
            <w:hideMark/>
          </w:tcPr>
          <w:p w:rsidR="003E5B1C" w:rsidRPr="003E5B1C" w:rsidRDefault="003E5B1C" w:rsidP="003E5B1C">
            <w:pPr>
              <w:jc w:val="right"/>
              <w:rPr>
                <w:rFonts w:eastAsia="Times New Roman"/>
                <w:color w:val="000000"/>
                <w:sz w:val="22"/>
                <w:szCs w:val="22"/>
                <w:lang w:eastAsia="en-GB"/>
              </w:rPr>
            </w:pPr>
            <w:r w:rsidRPr="003E5B1C">
              <w:rPr>
                <w:rFonts w:eastAsia="Times New Roman"/>
                <w:color w:val="000000"/>
                <w:sz w:val="22"/>
                <w:szCs w:val="22"/>
                <w:lang w:eastAsia="en-GB"/>
              </w:rPr>
              <w:t>£1,046,133</w:t>
            </w:r>
          </w:p>
        </w:tc>
        <w:tc>
          <w:tcPr>
            <w:tcW w:w="6174" w:type="dxa"/>
            <w:tcBorders>
              <w:top w:val="nil"/>
              <w:left w:val="nil"/>
              <w:bottom w:val="single" w:sz="4" w:space="0" w:color="auto"/>
              <w:right w:val="single" w:sz="4" w:space="0" w:color="auto"/>
            </w:tcBorders>
            <w:shd w:val="clear" w:color="auto" w:fill="auto"/>
            <w:noWrap/>
            <w:vAlign w:val="bottom"/>
            <w:hideMark/>
          </w:tcPr>
          <w:p w:rsidR="003E5B1C" w:rsidRPr="003E5B1C" w:rsidRDefault="003E5B1C" w:rsidP="003E5B1C">
            <w:pPr>
              <w:rPr>
                <w:rFonts w:eastAsia="Times New Roman"/>
                <w:color w:val="000000"/>
                <w:sz w:val="22"/>
                <w:szCs w:val="22"/>
                <w:lang w:eastAsia="en-GB"/>
              </w:rPr>
            </w:pPr>
            <w:r w:rsidRPr="003E5B1C">
              <w:rPr>
                <w:rFonts w:eastAsia="Times New Roman"/>
                <w:color w:val="000000"/>
                <w:sz w:val="22"/>
                <w:szCs w:val="22"/>
                <w:lang w:eastAsia="en-GB"/>
              </w:rPr>
              <w:t> </w:t>
            </w:r>
          </w:p>
        </w:tc>
      </w:tr>
    </w:tbl>
    <w:p w:rsidR="008A16C1" w:rsidRDefault="008A16C1" w:rsidP="00DC6B3B"/>
    <w:p w:rsidR="00793086" w:rsidRDefault="00793086" w:rsidP="00DC6B3B"/>
    <w:p w:rsidR="00793086" w:rsidRDefault="00793086" w:rsidP="00DC6B3B"/>
    <w:p w:rsidR="00793086" w:rsidRDefault="00793086" w:rsidP="00DC6B3B"/>
    <w:p w:rsidR="00793086" w:rsidRDefault="00793086" w:rsidP="00DC6B3B"/>
    <w:p w:rsidR="00793086" w:rsidRDefault="00793086" w:rsidP="00DC6B3B"/>
    <w:p w:rsidR="00793086" w:rsidRDefault="00793086" w:rsidP="00DC6B3B"/>
    <w:p w:rsidR="00793086" w:rsidRDefault="00793086" w:rsidP="00DC6B3B"/>
    <w:p w:rsidR="00793086" w:rsidRDefault="00793086" w:rsidP="00DC6B3B"/>
    <w:p w:rsidR="00793086" w:rsidRDefault="00793086" w:rsidP="00DC6B3B"/>
    <w:tbl>
      <w:tblPr>
        <w:tblW w:w="14474" w:type="dxa"/>
        <w:tblInd w:w="93" w:type="dxa"/>
        <w:tblLook w:val="04A0" w:firstRow="1" w:lastRow="0" w:firstColumn="1" w:lastColumn="0" w:noHBand="0" w:noVBand="1"/>
      </w:tblPr>
      <w:tblGrid>
        <w:gridCol w:w="4744"/>
        <w:gridCol w:w="2091"/>
        <w:gridCol w:w="1478"/>
        <w:gridCol w:w="6161"/>
      </w:tblGrid>
      <w:tr w:rsidR="00793086" w:rsidRPr="00793086" w:rsidTr="00793086">
        <w:trPr>
          <w:trHeight w:val="300"/>
        </w:trPr>
        <w:tc>
          <w:tcPr>
            <w:tcW w:w="14474" w:type="dxa"/>
            <w:gridSpan w:val="4"/>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Sutherland HRA Capital Programme 2020-21</w:t>
            </w:r>
          </w:p>
        </w:tc>
      </w:tr>
      <w:tr w:rsidR="00793086" w:rsidRPr="00793086" w:rsidTr="00793086">
        <w:trPr>
          <w:trHeight w:val="300"/>
        </w:trPr>
        <w:tc>
          <w:tcPr>
            <w:tcW w:w="4744" w:type="dxa"/>
            <w:tcBorders>
              <w:top w:val="nil"/>
              <w:left w:val="single" w:sz="4" w:space="0" w:color="auto"/>
              <w:bottom w:val="single" w:sz="4" w:space="0" w:color="auto"/>
              <w:right w:val="single" w:sz="4" w:space="0" w:color="auto"/>
            </w:tcBorders>
            <w:shd w:val="clear" w:color="auto" w:fill="auto"/>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w:t>
            </w:r>
          </w:p>
        </w:tc>
        <w:tc>
          <w:tcPr>
            <w:tcW w:w="2091" w:type="dxa"/>
            <w:tcBorders>
              <w:top w:val="nil"/>
              <w:left w:val="nil"/>
              <w:bottom w:val="single" w:sz="4" w:space="0" w:color="auto"/>
              <w:right w:val="single" w:sz="4" w:space="0" w:color="auto"/>
            </w:tcBorders>
            <w:shd w:val="clear" w:color="auto" w:fill="auto"/>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xml:space="preserve">Number of units </w:t>
            </w:r>
          </w:p>
        </w:tc>
        <w:tc>
          <w:tcPr>
            <w:tcW w:w="1478" w:type="dxa"/>
            <w:tcBorders>
              <w:top w:val="nil"/>
              <w:left w:val="nil"/>
              <w:bottom w:val="single" w:sz="4" w:space="0" w:color="auto"/>
              <w:right w:val="single" w:sz="4" w:space="0" w:color="auto"/>
            </w:tcBorders>
            <w:shd w:val="clear" w:color="auto" w:fill="auto"/>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xml:space="preserve">Project budget </w:t>
            </w:r>
          </w:p>
        </w:tc>
        <w:tc>
          <w:tcPr>
            <w:tcW w:w="6161" w:type="dxa"/>
            <w:tcBorders>
              <w:top w:val="nil"/>
              <w:left w:val="nil"/>
              <w:bottom w:val="single" w:sz="4" w:space="0" w:color="auto"/>
              <w:right w:val="single" w:sz="4" w:space="0" w:color="auto"/>
            </w:tcBorders>
            <w:shd w:val="clear" w:color="auto" w:fill="auto"/>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xml:space="preserve">Comments </w:t>
            </w:r>
          </w:p>
        </w:tc>
      </w:tr>
      <w:tr w:rsidR="00793086" w:rsidRPr="00793086" w:rsidTr="00793086">
        <w:trPr>
          <w:trHeight w:val="300"/>
        </w:trPr>
        <w:tc>
          <w:tcPr>
            <w:tcW w:w="14474" w:type="dxa"/>
            <w:gridSpan w:val="4"/>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xml:space="preserve">Equipment and adaptations </w:t>
            </w:r>
          </w:p>
        </w:tc>
      </w:tr>
      <w:tr w:rsidR="00793086" w:rsidRPr="00793086" w:rsidTr="00793086">
        <w:trPr>
          <w:trHeight w:val="300"/>
        </w:trPr>
        <w:tc>
          <w:tcPr>
            <w:tcW w:w="4744" w:type="dxa"/>
            <w:tcBorders>
              <w:top w:val="nil"/>
              <w:left w:val="single" w:sz="4" w:space="0" w:color="auto"/>
              <w:bottom w:val="single" w:sz="4" w:space="0" w:color="auto"/>
              <w:right w:val="single" w:sz="4" w:space="0" w:color="auto"/>
            </w:tcBorders>
            <w:shd w:val="clear" w:color="000000" w:fill="F2DCDB"/>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Equipment and adaptations</w:t>
            </w:r>
          </w:p>
        </w:tc>
        <w:tc>
          <w:tcPr>
            <w:tcW w:w="2091" w:type="dxa"/>
            <w:tcBorders>
              <w:top w:val="nil"/>
              <w:left w:val="nil"/>
              <w:bottom w:val="single" w:sz="4" w:space="0" w:color="auto"/>
              <w:right w:val="single" w:sz="4" w:space="0" w:color="auto"/>
            </w:tcBorders>
            <w:shd w:val="clear" w:color="000000" w:fill="F2DCDB"/>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xml:space="preserve">on demand </w:t>
            </w:r>
          </w:p>
        </w:tc>
        <w:tc>
          <w:tcPr>
            <w:tcW w:w="1478" w:type="dxa"/>
            <w:tcBorders>
              <w:top w:val="nil"/>
              <w:left w:val="nil"/>
              <w:bottom w:val="single" w:sz="4" w:space="0" w:color="auto"/>
              <w:right w:val="single" w:sz="4" w:space="0" w:color="auto"/>
            </w:tcBorders>
            <w:shd w:val="clear" w:color="000000" w:fill="F2DCDB"/>
            <w:noWrap/>
            <w:vAlign w:val="bottom"/>
            <w:hideMark/>
          </w:tcPr>
          <w:p w:rsidR="00793086" w:rsidRPr="00793086" w:rsidRDefault="00793086" w:rsidP="00793086">
            <w:pPr>
              <w:jc w:val="right"/>
              <w:rPr>
                <w:rFonts w:eastAsia="Times New Roman"/>
                <w:color w:val="000000"/>
                <w:sz w:val="22"/>
                <w:szCs w:val="22"/>
                <w:lang w:eastAsia="en-GB"/>
              </w:rPr>
            </w:pPr>
            <w:r w:rsidRPr="00793086">
              <w:rPr>
                <w:rFonts w:eastAsia="Times New Roman"/>
                <w:color w:val="000000"/>
                <w:sz w:val="22"/>
                <w:szCs w:val="22"/>
                <w:lang w:eastAsia="en-GB"/>
              </w:rPr>
              <w:t>£67,000</w:t>
            </w:r>
          </w:p>
        </w:tc>
        <w:tc>
          <w:tcPr>
            <w:tcW w:w="6161" w:type="dxa"/>
            <w:tcBorders>
              <w:top w:val="nil"/>
              <w:left w:val="nil"/>
              <w:bottom w:val="single" w:sz="4" w:space="0" w:color="auto"/>
              <w:right w:val="single" w:sz="4" w:space="0" w:color="auto"/>
            </w:tcBorders>
            <w:shd w:val="clear" w:color="000000" w:fill="F2DCDB"/>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xml:space="preserve">Works on demand following referral from OT </w:t>
            </w:r>
          </w:p>
        </w:tc>
      </w:tr>
      <w:tr w:rsidR="00793086" w:rsidRPr="00793086" w:rsidTr="00793086">
        <w:trPr>
          <w:trHeight w:val="300"/>
        </w:trPr>
        <w:tc>
          <w:tcPr>
            <w:tcW w:w="4744" w:type="dxa"/>
            <w:tcBorders>
              <w:top w:val="nil"/>
              <w:left w:val="single" w:sz="4" w:space="0" w:color="auto"/>
              <w:bottom w:val="single" w:sz="4" w:space="0" w:color="auto"/>
              <w:right w:val="single" w:sz="4" w:space="0" w:color="auto"/>
            </w:tcBorders>
            <w:shd w:val="clear" w:color="000000" w:fill="DCE6F1"/>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xml:space="preserve">Major Component Replacement </w:t>
            </w:r>
          </w:p>
        </w:tc>
        <w:tc>
          <w:tcPr>
            <w:tcW w:w="2091" w:type="dxa"/>
            <w:tcBorders>
              <w:top w:val="nil"/>
              <w:left w:val="nil"/>
              <w:bottom w:val="single" w:sz="4" w:space="0" w:color="auto"/>
              <w:right w:val="single" w:sz="4" w:space="0" w:color="auto"/>
            </w:tcBorders>
            <w:shd w:val="clear" w:color="000000" w:fill="DCE6F1"/>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w:t>
            </w:r>
          </w:p>
        </w:tc>
        <w:tc>
          <w:tcPr>
            <w:tcW w:w="1478" w:type="dxa"/>
            <w:tcBorders>
              <w:top w:val="nil"/>
              <w:left w:val="nil"/>
              <w:bottom w:val="single" w:sz="4" w:space="0" w:color="auto"/>
              <w:right w:val="single" w:sz="4" w:space="0" w:color="auto"/>
            </w:tcBorders>
            <w:shd w:val="clear" w:color="000000" w:fill="DCE6F1"/>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w:t>
            </w:r>
          </w:p>
        </w:tc>
        <w:tc>
          <w:tcPr>
            <w:tcW w:w="6161" w:type="dxa"/>
            <w:tcBorders>
              <w:top w:val="nil"/>
              <w:left w:val="nil"/>
              <w:bottom w:val="single" w:sz="4" w:space="0" w:color="auto"/>
              <w:right w:val="single" w:sz="4" w:space="0" w:color="auto"/>
            </w:tcBorders>
            <w:shd w:val="clear" w:color="000000" w:fill="DCE6F1"/>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w:t>
            </w:r>
          </w:p>
        </w:tc>
      </w:tr>
      <w:tr w:rsidR="00793086" w:rsidRPr="00793086" w:rsidTr="00793086">
        <w:trPr>
          <w:trHeight w:val="300"/>
        </w:trPr>
        <w:tc>
          <w:tcPr>
            <w:tcW w:w="4744" w:type="dxa"/>
            <w:tcBorders>
              <w:top w:val="nil"/>
              <w:left w:val="single" w:sz="4" w:space="0" w:color="auto"/>
              <w:bottom w:val="single" w:sz="4" w:space="0" w:color="auto"/>
              <w:right w:val="single" w:sz="4" w:space="0" w:color="auto"/>
            </w:tcBorders>
            <w:shd w:val="clear" w:color="000000" w:fill="F2DCDB"/>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xml:space="preserve">Windows and doors replacements </w:t>
            </w:r>
          </w:p>
        </w:tc>
        <w:tc>
          <w:tcPr>
            <w:tcW w:w="2091" w:type="dxa"/>
            <w:tcBorders>
              <w:top w:val="nil"/>
              <w:left w:val="nil"/>
              <w:bottom w:val="single" w:sz="4" w:space="0" w:color="auto"/>
              <w:right w:val="single" w:sz="4" w:space="0" w:color="auto"/>
            </w:tcBorders>
            <w:shd w:val="clear" w:color="000000" w:fill="F2DCDB"/>
            <w:noWrap/>
            <w:vAlign w:val="bottom"/>
            <w:hideMark/>
          </w:tcPr>
          <w:p w:rsidR="00793086" w:rsidRPr="00793086" w:rsidRDefault="00793086" w:rsidP="00793086">
            <w:pPr>
              <w:jc w:val="right"/>
              <w:rPr>
                <w:rFonts w:eastAsia="Times New Roman"/>
                <w:color w:val="000000"/>
                <w:sz w:val="22"/>
                <w:szCs w:val="22"/>
                <w:lang w:eastAsia="en-GB"/>
              </w:rPr>
            </w:pPr>
            <w:r w:rsidRPr="00793086">
              <w:rPr>
                <w:rFonts w:eastAsia="Times New Roman"/>
                <w:color w:val="000000"/>
                <w:sz w:val="22"/>
                <w:szCs w:val="22"/>
                <w:lang w:eastAsia="en-GB"/>
              </w:rPr>
              <w:t>25</w:t>
            </w:r>
          </w:p>
        </w:tc>
        <w:tc>
          <w:tcPr>
            <w:tcW w:w="1478" w:type="dxa"/>
            <w:tcBorders>
              <w:top w:val="nil"/>
              <w:left w:val="nil"/>
              <w:bottom w:val="single" w:sz="4" w:space="0" w:color="auto"/>
              <w:right w:val="single" w:sz="4" w:space="0" w:color="auto"/>
            </w:tcBorders>
            <w:shd w:val="clear" w:color="000000" w:fill="F2DCDB"/>
            <w:noWrap/>
            <w:vAlign w:val="bottom"/>
            <w:hideMark/>
          </w:tcPr>
          <w:p w:rsidR="00793086" w:rsidRPr="00793086" w:rsidRDefault="00793086" w:rsidP="00793086">
            <w:pPr>
              <w:jc w:val="right"/>
              <w:rPr>
                <w:rFonts w:eastAsia="Times New Roman"/>
                <w:color w:val="000000"/>
                <w:sz w:val="22"/>
                <w:szCs w:val="22"/>
                <w:lang w:eastAsia="en-GB"/>
              </w:rPr>
            </w:pPr>
            <w:r w:rsidRPr="00793086">
              <w:rPr>
                <w:rFonts w:eastAsia="Times New Roman"/>
                <w:color w:val="000000"/>
                <w:sz w:val="22"/>
                <w:szCs w:val="22"/>
                <w:lang w:eastAsia="en-GB"/>
              </w:rPr>
              <w:t>£200,000</w:t>
            </w:r>
          </w:p>
        </w:tc>
        <w:tc>
          <w:tcPr>
            <w:tcW w:w="6161" w:type="dxa"/>
            <w:tcBorders>
              <w:top w:val="nil"/>
              <w:left w:val="nil"/>
              <w:bottom w:val="single" w:sz="4" w:space="0" w:color="auto"/>
              <w:right w:val="single" w:sz="4" w:space="0" w:color="auto"/>
            </w:tcBorders>
            <w:shd w:val="clear" w:color="000000" w:fill="F2DCDB"/>
            <w:noWrap/>
            <w:vAlign w:val="bottom"/>
            <w:hideMark/>
          </w:tcPr>
          <w:p w:rsidR="00793086" w:rsidRPr="00793086" w:rsidRDefault="00793086" w:rsidP="00793086">
            <w:pPr>
              <w:rPr>
                <w:rFonts w:eastAsia="Times New Roman"/>
                <w:color w:val="000000"/>
                <w:sz w:val="22"/>
                <w:szCs w:val="22"/>
                <w:lang w:eastAsia="en-GB"/>
              </w:rPr>
            </w:pPr>
            <w:r>
              <w:rPr>
                <w:rFonts w:eastAsia="Times New Roman"/>
                <w:color w:val="000000"/>
                <w:sz w:val="22"/>
                <w:szCs w:val="22"/>
                <w:lang w:eastAsia="en-GB"/>
              </w:rPr>
              <w:t xml:space="preserve">Oldest windows and doors Sutherland </w:t>
            </w:r>
          </w:p>
        </w:tc>
      </w:tr>
      <w:tr w:rsidR="00793086" w:rsidRPr="00793086" w:rsidTr="00793086">
        <w:trPr>
          <w:trHeight w:val="300"/>
        </w:trPr>
        <w:tc>
          <w:tcPr>
            <w:tcW w:w="4744" w:type="dxa"/>
            <w:tcBorders>
              <w:top w:val="nil"/>
              <w:left w:val="single" w:sz="4" w:space="0" w:color="auto"/>
              <w:bottom w:val="single" w:sz="4" w:space="0" w:color="auto"/>
              <w:right w:val="single" w:sz="4" w:space="0" w:color="auto"/>
            </w:tcBorders>
            <w:shd w:val="clear" w:color="000000" w:fill="F2DCDB"/>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xml:space="preserve">Kitchen replacements </w:t>
            </w:r>
          </w:p>
        </w:tc>
        <w:tc>
          <w:tcPr>
            <w:tcW w:w="2091" w:type="dxa"/>
            <w:tcBorders>
              <w:top w:val="nil"/>
              <w:left w:val="nil"/>
              <w:bottom w:val="single" w:sz="4" w:space="0" w:color="auto"/>
              <w:right w:val="single" w:sz="4" w:space="0" w:color="auto"/>
            </w:tcBorders>
            <w:shd w:val="clear" w:color="000000" w:fill="F2DCDB"/>
            <w:noWrap/>
            <w:vAlign w:val="bottom"/>
            <w:hideMark/>
          </w:tcPr>
          <w:p w:rsidR="00793086" w:rsidRPr="00793086" w:rsidRDefault="00793086" w:rsidP="00793086">
            <w:pPr>
              <w:jc w:val="right"/>
              <w:rPr>
                <w:rFonts w:eastAsia="Times New Roman"/>
                <w:color w:val="000000"/>
                <w:sz w:val="22"/>
                <w:szCs w:val="22"/>
                <w:lang w:eastAsia="en-GB"/>
              </w:rPr>
            </w:pPr>
            <w:r w:rsidRPr="00793086">
              <w:rPr>
                <w:rFonts w:eastAsia="Times New Roman"/>
                <w:color w:val="000000"/>
                <w:sz w:val="22"/>
                <w:szCs w:val="22"/>
                <w:lang w:eastAsia="en-GB"/>
              </w:rPr>
              <w:t>20</w:t>
            </w:r>
          </w:p>
        </w:tc>
        <w:tc>
          <w:tcPr>
            <w:tcW w:w="1478" w:type="dxa"/>
            <w:tcBorders>
              <w:top w:val="nil"/>
              <w:left w:val="nil"/>
              <w:bottom w:val="single" w:sz="4" w:space="0" w:color="auto"/>
              <w:right w:val="single" w:sz="4" w:space="0" w:color="auto"/>
            </w:tcBorders>
            <w:shd w:val="clear" w:color="000000" w:fill="F2DCDB"/>
            <w:noWrap/>
            <w:vAlign w:val="bottom"/>
            <w:hideMark/>
          </w:tcPr>
          <w:p w:rsidR="00793086" w:rsidRPr="00793086" w:rsidRDefault="00793086" w:rsidP="00793086">
            <w:pPr>
              <w:jc w:val="right"/>
              <w:rPr>
                <w:rFonts w:eastAsia="Times New Roman"/>
                <w:color w:val="000000"/>
                <w:sz w:val="22"/>
                <w:szCs w:val="22"/>
                <w:lang w:eastAsia="en-GB"/>
              </w:rPr>
            </w:pPr>
            <w:r w:rsidRPr="00793086">
              <w:rPr>
                <w:rFonts w:eastAsia="Times New Roman"/>
                <w:color w:val="000000"/>
                <w:sz w:val="22"/>
                <w:szCs w:val="22"/>
                <w:lang w:eastAsia="en-GB"/>
              </w:rPr>
              <w:t>£100,000</w:t>
            </w:r>
          </w:p>
        </w:tc>
        <w:tc>
          <w:tcPr>
            <w:tcW w:w="6161" w:type="dxa"/>
            <w:tcBorders>
              <w:top w:val="nil"/>
              <w:left w:val="nil"/>
              <w:bottom w:val="single" w:sz="4" w:space="0" w:color="auto"/>
              <w:right w:val="single" w:sz="4" w:space="0" w:color="auto"/>
            </w:tcBorders>
            <w:shd w:val="clear" w:color="000000" w:fill="F2DCDB"/>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Oldest kitchens/one-off replacements</w:t>
            </w:r>
            <w:r>
              <w:rPr>
                <w:rFonts w:eastAsia="Times New Roman"/>
                <w:color w:val="000000"/>
                <w:sz w:val="22"/>
                <w:szCs w:val="22"/>
                <w:lang w:eastAsia="en-GB"/>
              </w:rPr>
              <w:t xml:space="preserve"> Sutherland </w:t>
            </w:r>
            <w:r w:rsidRPr="00793086">
              <w:rPr>
                <w:rFonts w:eastAsia="Times New Roman"/>
                <w:color w:val="000000"/>
                <w:sz w:val="22"/>
                <w:szCs w:val="22"/>
                <w:lang w:eastAsia="en-GB"/>
              </w:rPr>
              <w:t xml:space="preserve"> </w:t>
            </w:r>
          </w:p>
        </w:tc>
      </w:tr>
      <w:tr w:rsidR="00793086" w:rsidRPr="00793086" w:rsidTr="00793086">
        <w:trPr>
          <w:trHeight w:val="300"/>
        </w:trPr>
        <w:tc>
          <w:tcPr>
            <w:tcW w:w="4744" w:type="dxa"/>
            <w:tcBorders>
              <w:top w:val="nil"/>
              <w:left w:val="single" w:sz="4" w:space="0" w:color="auto"/>
              <w:bottom w:val="single" w:sz="4" w:space="0" w:color="auto"/>
              <w:right w:val="single" w:sz="4" w:space="0" w:color="auto"/>
            </w:tcBorders>
            <w:shd w:val="clear" w:color="000000" w:fill="F2DCDB"/>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xml:space="preserve">Bathroom replacements </w:t>
            </w:r>
          </w:p>
        </w:tc>
        <w:tc>
          <w:tcPr>
            <w:tcW w:w="2091" w:type="dxa"/>
            <w:tcBorders>
              <w:top w:val="nil"/>
              <w:left w:val="nil"/>
              <w:bottom w:val="single" w:sz="4" w:space="0" w:color="auto"/>
              <w:right w:val="single" w:sz="4" w:space="0" w:color="auto"/>
            </w:tcBorders>
            <w:shd w:val="clear" w:color="000000" w:fill="F2DCDB"/>
            <w:noWrap/>
            <w:vAlign w:val="bottom"/>
            <w:hideMark/>
          </w:tcPr>
          <w:p w:rsidR="00793086" w:rsidRPr="00793086" w:rsidRDefault="00793086" w:rsidP="00793086">
            <w:pPr>
              <w:jc w:val="right"/>
              <w:rPr>
                <w:rFonts w:eastAsia="Times New Roman"/>
                <w:color w:val="000000"/>
                <w:sz w:val="22"/>
                <w:szCs w:val="22"/>
                <w:lang w:eastAsia="en-GB"/>
              </w:rPr>
            </w:pPr>
            <w:r w:rsidRPr="00793086">
              <w:rPr>
                <w:rFonts w:eastAsia="Times New Roman"/>
                <w:color w:val="000000"/>
                <w:sz w:val="22"/>
                <w:szCs w:val="22"/>
                <w:lang w:eastAsia="en-GB"/>
              </w:rPr>
              <w:t>20</w:t>
            </w:r>
          </w:p>
        </w:tc>
        <w:tc>
          <w:tcPr>
            <w:tcW w:w="1478" w:type="dxa"/>
            <w:tcBorders>
              <w:top w:val="nil"/>
              <w:left w:val="nil"/>
              <w:bottom w:val="single" w:sz="4" w:space="0" w:color="auto"/>
              <w:right w:val="single" w:sz="4" w:space="0" w:color="auto"/>
            </w:tcBorders>
            <w:shd w:val="clear" w:color="000000" w:fill="F2DCDB"/>
            <w:noWrap/>
            <w:vAlign w:val="bottom"/>
            <w:hideMark/>
          </w:tcPr>
          <w:p w:rsidR="00793086" w:rsidRPr="00793086" w:rsidRDefault="00793086" w:rsidP="00793086">
            <w:pPr>
              <w:jc w:val="right"/>
              <w:rPr>
                <w:rFonts w:eastAsia="Times New Roman"/>
                <w:color w:val="000000"/>
                <w:sz w:val="22"/>
                <w:szCs w:val="22"/>
                <w:lang w:eastAsia="en-GB"/>
              </w:rPr>
            </w:pPr>
            <w:r w:rsidRPr="00793086">
              <w:rPr>
                <w:rFonts w:eastAsia="Times New Roman"/>
                <w:color w:val="000000"/>
                <w:sz w:val="22"/>
                <w:szCs w:val="22"/>
                <w:lang w:eastAsia="en-GB"/>
              </w:rPr>
              <w:t>£100,000</w:t>
            </w:r>
          </w:p>
        </w:tc>
        <w:tc>
          <w:tcPr>
            <w:tcW w:w="6161" w:type="dxa"/>
            <w:tcBorders>
              <w:top w:val="nil"/>
              <w:left w:val="nil"/>
              <w:bottom w:val="single" w:sz="4" w:space="0" w:color="auto"/>
              <w:right w:val="single" w:sz="4" w:space="0" w:color="auto"/>
            </w:tcBorders>
            <w:shd w:val="clear" w:color="000000" w:fill="F2DCDB"/>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Oldest bathrooms/one-off replacements</w:t>
            </w:r>
            <w:r>
              <w:rPr>
                <w:rFonts w:eastAsia="Times New Roman"/>
                <w:color w:val="000000"/>
                <w:sz w:val="22"/>
                <w:szCs w:val="22"/>
                <w:lang w:eastAsia="en-GB"/>
              </w:rPr>
              <w:t xml:space="preserve"> Sutherland </w:t>
            </w:r>
            <w:r w:rsidRPr="00793086">
              <w:rPr>
                <w:rFonts w:eastAsia="Times New Roman"/>
                <w:color w:val="000000"/>
                <w:sz w:val="22"/>
                <w:szCs w:val="22"/>
                <w:lang w:eastAsia="en-GB"/>
              </w:rPr>
              <w:t xml:space="preserve"> </w:t>
            </w:r>
          </w:p>
        </w:tc>
      </w:tr>
      <w:tr w:rsidR="00793086" w:rsidRPr="00793086" w:rsidTr="00793086">
        <w:trPr>
          <w:trHeight w:val="300"/>
        </w:trPr>
        <w:tc>
          <w:tcPr>
            <w:tcW w:w="4744" w:type="dxa"/>
            <w:tcBorders>
              <w:top w:val="nil"/>
              <w:left w:val="single" w:sz="4" w:space="0" w:color="auto"/>
              <w:bottom w:val="single" w:sz="4" w:space="0" w:color="auto"/>
              <w:right w:val="single" w:sz="4" w:space="0" w:color="auto"/>
            </w:tcBorders>
            <w:shd w:val="clear" w:color="000000" w:fill="F2DCDB"/>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xml:space="preserve">Rewiring </w:t>
            </w:r>
          </w:p>
        </w:tc>
        <w:tc>
          <w:tcPr>
            <w:tcW w:w="2091" w:type="dxa"/>
            <w:tcBorders>
              <w:top w:val="nil"/>
              <w:left w:val="nil"/>
              <w:bottom w:val="single" w:sz="4" w:space="0" w:color="auto"/>
              <w:right w:val="single" w:sz="4" w:space="0" w:color="auto"/>
            </w:tcBorders>
            <w:shd w:val="clear" w:color="000000" w:fill="F2DCDB"/>
            <w:noWrap/>
            <w:vAlign w:val="bottom"/>
            <w:hideMark/>
          </w:tcPr>
          <w:p w:rsidR="00793086" w:rsidRPr="00793086" w:rsidRDefault="00793086" w:rsidP="00793086">
            <w:pPr>
              <w:jc w:val="right"/>
              <w:rPr>
                <w:rFonts w:eastAsia="Times New Roman"/>
                <w:color w:val="000000"/>
                <w:sz w:val="22"/>
                <w:szCs w:val="22"/>
                <w:lang w:eastAsia="en-GB"/>
              </w:rPr>
            </w:pPr>
            <w:r w:rsidRPr="00793086">
              <w:rPr>
                <w:rFonts w:eastAsia="Times New Roman"/>
                <w:color w:val="000000"/>
                <w:sz w:val="22"/>
                <w:szCs w:val="22"/>
                <w:lang w:eastAsia="en-GB"/>
              </w:rPr>
              <w:t>8</w:t>
            </w:r>
          </w:p>
        </w:tc>
        <w:tc>
          <w:tcPr>
            <w:tcW w:w="1478" w:type="dxa"/>
            <w:tcBorders>
              <w:top w:val="nil"/>
              <w:left w:val="nil"/>
              <w:bottom w:val="single" w:sz="4" w:space="0" w:color="auto"/>
              <w:right w:val="single" w:sz="4" w:space="0" w:color="auto"/>
            </w:tcBorders>
            <w:shd w:val="clear" w:color="000000" w:fill="F2DCDB"/>
            <w:noWrap/>
            <w:vAlign w:val="bottom"/>
            <w:hideMark/>
          </w:tcPr>
          <w:p w:rsidR="00793086" w:rsidRPr="00793086" w:rsidRDefault="00793086" w:rsidP="00793086">
            <w:pPr>
              <w:jc w:val="right"/>
              <w:rPr>
                <w:rFonts w:eastAsia="Times New Roman"/>
                <w:color w:val="000000"/>
                <w:sz w:val="22"/>
                <w:szCs w:val="22"/>
                <w:lang w:eastAsia="en-GB"/>
              </w:rPr>
            </w:pPr>
            <w:r w:rsidRPr="00793086">
              <w:rPr>
                <w:rFonts w:eastAsia="Times New Roman"/>
                <w:color w:val="000000"/>
                <w:sz w:val="22"/>
                <w:szCs w:val="22"/>
                <w:lang w:eastAsia="en-GB"/>
              </w:rPr>
              <w:t>£50,000</w:t>
            </w:r>
          </w:p>
        </w:tc>
        <w:tc>
          <w:tcPr>
            <w:tcW w:w="6161" w:type="dxa"/>
            <w:tcBorders>
              <w:top w:val="nil"/>
              <w:left w:val="nil"/>
              <w:bottom w:val="single" w:sz="4" w:space="0" w:color="auto"/>
              <w:right w:val="single" w:sz="4" w:space="0" w:color="auto"/>
            </w:tcBorders>
            <w:shd w:val="clear" w:color="000000" w:fill="F2DCDB"/>
            <w:noWrap/>
            <w:vAlign w:val="bottom"/>
            <w:hideMark/>
          </w:tcPr>
          <w:p w:rsidR="00793086" w:rsidRPr="00793086" w:rsidRDefault="00793086" w:rsidP="00793086">
            <w:pPr>
              <w:rPr>
                <w:rFonts w:eastAsia="Times New Roman"/>
                <w:color w:val="000000"/>
                <w:sz w:val="22"/>
                <w:szCs w:val="22"/>
                <w:lang w:eastAsia="en-GB"/>
              </w:rPr>
            </w:pPr>
            <w:r>
              <w:rPr>
                <w:rFonts w:eastAsia="Times New Roman"/>
                <w:color w:val="000000"/>
                <w:sz w:val="22"/>
                <w:szCs w:val="22"/>
                <w:lang w:eastAsia="en-GB"/>
              </w:rPr>
              <w:t xml:space="preserve">Oldest rewires Sutherland </w:t>
            </w:r>
            <w:r w:rsidRPr="00793086">
              <w:rPr>
                <w:rFonts w:eastAsia="Times New Roman"/>
                <w:color w:val="000000"/>
                <w:sz w:val="22"/>
                <w:szCs w:val="22"/>
                <w:lang w:eastAsia="en-GB"/>
              </w:rPr>
              <w:t xml:space="preserve"> </w:t>
            </w:r>
          </w:p>
        </w:tc>
      </w:tr>
      <w:tr w:rsidR="00793086" w:rsidRPr="00793086" w:rsidTr="00793086">
        <w:trPr>
          <w:trHeight w:val="300"/>
        </w:trPr>
        <w:tc>
          <w:tcPr>
            <w:tcW w:w="4744" w:type="dxa"/>
            <w:tcBorders>
              <w:top w:val="nil"/>
              <w:left w:val="single" w:sz="4" w:space="0" w:color="auto"/>
              <w:bottom w:val="single" w:sz="4" w:space="0" w:color="auto"/>
              <w:right w:val="single" w:sz="4" w:space="0" w:color="auto"/>
            </w:tcBorders>
            <w:shd w:val="clear" w:color="000000" w:fill="F2DCDB"/>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xml:space="preserve">Windows and doors replacements </w:t>
            </w:r>
          </w:p>
        </w:tc>
        <w:tc>
          <w:tcPr>
            <w:tcW w:w="2091" w:type="dxa"/>
            <w:tcBorders>
              <w:top w:val="nil"/>
              <w:left w:val="nil"/>
              <w:bottom w:val="single" w:sz="4" w:space="0" w:color="auto"/>
              <w:right w:val="single" w:sz="4" w:space="0" w:color="auto"/>
            </w:tcBorders>
            <w:shd w:val="clear" w:color="000000" w:fill="F2DCDB"/>
            <w:noWrap/>
            <w:vAlign w:val="bottom"/>
            <w:hideMark/>
          </w:tcPr>
          <w:p w:rsidR="00793086" w:rsidRPr="00793086" w:rsidRDefault="00793086" w:rsidP="00793086">
            <w:pPr>
              <w:jc w:val="right"/>
              <w:rPr>
                <w:rFonts w:eastAsia="Times New Roman"/>
                <w:color w:val="000000"/>
                <w:sz w:val="22"/>
                <w:szCs w:val="22"/>
                <w:lang w:eastAsia="en-GB"/>
              </w:rPr>
            </w:pPr>
            <w:r w:rsidRPr="00793086">
              <w:rPr>
                <w:rFonts w:eastAsia="Times New Roman"/>
                <w:color w:val="000000"/>
                <w:sz w:val="22"/>
                <w:szCs w:val="22"/>
                <w:lang w:eastAsia="en-GB"/>
              </w:rPr>
              <w:t xml:space="preserve">on demand </w:t>
            </w:r>
          </w:p>
        </w:tc>
        <w:tc>
          <w:tcPr>
            <w:tcW w:w="1478" w:type="dxa"/>
            <w:tcBorders>
              <w:top w:val="nil"/>
              <w:left w:val="nil"/>
              <w:bottom w:val="single" w:sz="4" w:space="0" w:color="auto"/>
              <w:right w:val="single" w:sz="4" w:space="0" w:color="auto"/>
            </w:tcBorders>
            <w:shd w:val="clear" w:color="000000" w:fill="F2DCDB"/>
            <w:noWrap/>
            <w:vAlign w:val="bottom"/>
            <w:hideMark/>
          </w:tcPr>
          <w:p w:rsidR="00793086" w:rsidRPr="00793086" w:rsidRDefault="00793086" w:rsidP="00793086">
            <w:pPr>
              <w:jc w:val="right"/>
              <w:rPr>
                <w:rFonts w:eastAsia="Times New Roman"/>
                <w:color w:val="000000"/>
                <w:sz w:val="22"/>
                <w:szCs w:val="22"/>
                <w:lang w:eastAsia="en-GB"/>
              </w:rPr>
            </w:pPr>
            <w:r w:rsidRPr="00793086">
              <w:rPr>
                <w:rFonts w:eastAsia="Times New Roman"/>
                <w:color w:val="000000"/>
                <w:sz w:val="22"/>
                <w:szCs w:val="22"/>
                <w:lang w:eastAsia="en-GB"/>
              </w:rPr>
              <w:t>£15,000</w:t>
            </w:r>
          </w:p>
        </w:tc>
        <w:tc>
          <w:tcPr>
            <w:tcW w:w="6161" w:type="dxa"/>
            <w:tcBorders>
              <w:top w:val="nil"/>
              <w:left w:val="nil"/>
              <w:bottom w:val="single" w:sz="4" w:space="0" w:color="auto"/>
              <w:right w:val="single" w:sz="4" w:space="0" w:color="auto"/>
            </w:tcBorders>
            <w:shd w:val="clear" w:color="000000" w:fill="F2DCDB"/>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One-off replacements</w:t>
            </w:r>
            <w:r>
              <w:rPr>
                <w:rFonts w:eastAsia="Times New Roman"/>
                <w:color w:val="000000"/>
                <w:sz w:val="22"/>
                <w:szCs w:val="22"/>
                <w:lang w:eastAsia="en-GB"/>
              </w:rPr>
              <w:t xml:space="preserve"> Sutherland </w:t>
            </w:r>
            <w:r w:rsidRPr="00793086">
              <w:rPr>
                <w:rFonts w:eastAsia="Times New Roman"/>
                <w:color w:val="000000"/>
                <w:sz w:val="22"/>
                <w:szCs w:val="22"/>
                <w:lang w:eastAsia="en-GB"/>
              </w:rPr>
              <w:t xml:space="preserve"> </w:t>
            </w:r>
          </w:p>
        </w:tc>
      </w:tr>
      <w:tr w:rsidR="00793086" w:rsidRPr="00793086" w:rsidTr="00793086">
        <w:trPr>
          <w:trHeight w:val="300"/>
        </w:trPr>
        <w:tc>
          <w:tcPr>
            <w:tcW w:w="4744" w:type="dxa"/>
            <w:tcBorders>
              <w:top w:val="nil"/>
              <w:left w:val="single" w:sz="4" w:space="0" w:color="auto"/>
              <w:bottom w:val="single" w:sz="4" w:space="0" w:color="auto"/>
              <w:right w:val="single" w:sz="4" w:space="0" w:color="auto"/>
            </w:tcBorders>
            <w:shd w:val="clear" w:color="000000" w:fill="DCE6F1"/>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xml:space="preserve">Heating/energy efficiency </w:t>
            </w:r>
          </w:p>
        </w:tc>
        <w:tc>
          <w:tcPr>
            <w:tcW w:w="2091" w:type="dxa"/>
            <w:tcBorders>
              <w:top w:val="nil"/>
              <w:left w:val="nil"/>
              <w:bottom w:val="single" w:sz="4" w:space="0" w:color="auto"/>
              <w:right w:val="single" w:sz="4" w:space="0" w:color="auto"/>
            </w:tcBorders>
            <w:shd w:val="clear" w:color="000000" w:fill="DCE6F1"/>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w:t>
            </w:r>
          </w:p>
        </w:tc>
        <w:tc>
          <w:tcPr>
            <w:tcW w:w="1478" w:type="dxa"/>
            <w:tcBorders>
              <w:top w:val="nil"/>
              <w:left w:val="nil"/>
              <w:bottom w:val="single" w:sz="4" w:space="0" w:color="auto"/>
              <w:right w:val="single" w:sz="4" w:space="0" w:color="auto"/>
            </w:tcBorders>
            <w:shd w:val="clear" w:color="000000" w:fill="DCE6F1"/>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w:t>
            </w:r>
          </w:p>
        </w:tc>
        <w:tc>
          <w:tcPr>
            <w:tcW w:w="6161" w:type="dxa"/>
            <w:tcBorders>
              <w:top w:val="nil"/>
              <w:left w:val="nil"/>
              <w:bottom w:val="single" w:sz="4" w:space="0" w:color="auto"/>
              <w:right w:val="single" w:sz="4" w:space="0" w:color="auto"/>
            </w:tcBorders>
            <w:shd w:val="clear" w:color="000000" w:fill="DCE6F1"/>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w:t>
            </w:r>
          </w:p>
        </w:tc>
      </w:tr>
      <w:tr w:rsidR="00793086" w:rsidRPr="00793086" w:rsidTr="00793086">
        <w:trPr>
          <w:trHeight w:val="300"/>
        </w:trPr>
        <w:tc>
          <w:tcPr>
            <w:tcW w:w="4744" w:type="dxa"/>
            <w:tcBorders>
              <w:top w:val="nil"/>
              <w:left w:val="single" w:sz="4" w:space="0" w:color="auto"/>
              <w:bottom w:val="single" w:sz="4" w:space="0" w:color="auto"/>
              <w:right w:val="single" w:sz="4" w:space="0" w:color="auto"/>
            </w:tcBorders>
            <w:shd w:val="clear" w:color="000000" w:fill="F2DCDB"/>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xml:space="preserve">One-off heating replacements </w:t>
            </w:r>
          </w:p>
        </w:tc>
        <w:tc>
          <w:tcPr>
            <w:tcW w:w="2091" w:type="dxa"/>
            <w:tcBorders>
              <w:top w:val="nil"/>
              <w:left w:val="nil"/>
              <w:bottom w:val="single" w:sz="4" w:space="0" w:color="auto"/>
              <w:right w:val="single" w:sz="4" w:space="0" w:color="auto"/>
            </w:tcBorders>
            <w:shd w:val="clear" w:color="000000" w:fill="F2DCDB"/>
            <w:noWrap/>
            <w:vAlign w:val="bottom"/>
            <w:hideMark/>
          </w:tcPr>
          <w:p w:rsidR="00793086" w:rsidRPr="00793086" w:rsidRDefault="00793086" w:rsidP="00793086">
            <w:pPr>
              <w:jc w:val="right"/>
              <w:rPr>
                <w:rFonts w:eastAsia="Times New Roman"/>
                <w:color w:val="000000"/>
                <w:sz w:val="22"/>
                <w:szCs w:val="22"/>
                <w:lang w:eastAsia="en-GB"/>
              </w:rPr>
            </w:pPr>
            <w:r w:rsidRPr="00793086">
              <w:rPr>
                <w:rFonts w:eastAsia="Times New Roman"/>
                <w:color w:val="000000"/>
                <w:sz w:val="22"/>
                <w:szCs w:val="22"/>
                <w:lang w:eastAsia="en-GB"/>
              </w:rPr>
              <w:t xml:space="preserve">on demand </w:t>
            </w:r>
          </w:p>
        </w:tc>
        <w:tc>
          <w:tcPr>
            <w:tcW w:w="1478" w:type="dxa"/>
            <w:tcBorders>
              <w:top w:val="nil"/>
              <w:left w:val="nil"/>
              <w:bottom w:val="single" w:sz="4" w:space="0" w:color="auto"/>
              <w:right w:val="single" w:sz="4" w:space="0" w:color="auto"/>
            </w:tcBorders>
            <w:shd w:val="clear" w:color="000000" w:fill="F2DCDB"/>
            <w:noWrap/>
            <w:vAlign w:val="bottom"/>
            <w:hideMark/>
          </w:tcPr>
          <w:p w:rsidR="00793086" w:rsidRPr="00793086" w:rsidRDefault="00793086" w:rsidP="00793086">
            <w:pPr>
              <w:jc w:val="right"/>
              <w:rPr>
                <w:rFonts w:eastAsia="Times New Roman"/>
                <w:color w:val="000000"/>
                <w:sz w:val="22"/>
                <w:szCs w:val="22"/>
                <w:lang w:eastAsia="en-GB"/>
              </w:rPr>
            </w:pPr>
            <w:r w:rsidRPr="00793086">
              <w:rPr>
                <w:rFonts w:eastAsia="Times New Roman"/>
                <w:color w:val="000000"/>
                <w:sz w:val="22"/>
                <w:szCs w:val="22"/>
                <w:lang w:eastAsia="en-GB"/>
              </w:rPr>
              <w:t>£80,000</w:t>
            </w:r>
          </w:p>
        </w:tc>
        <w:tc>
          <w:tcPr>
            <w:tcW w:w="6161" w:type="dxa"/>
            <w:tcBorders>
              <w:top w:val="nil"/>
              <w:left w:val="nil"/>
              <w:bottom w:val="single" w:sz="4" w:space="0" w:color="auto"/>
              <w:right w:val="single" w:sz="4" w:space="0" w:color="auto"/>
            </w:tcBorders>
            <w:shd w:val="clear" w:color="000000" w:fill="F2DCDB"/>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One-off heating replacements</w:t>
            </w:r>
            <w:r>
              <w:rPr>
                <w:rFonts w:eastAsia="Times New Roman"/>
                <w:color w:val="000000"/>
                <w:sz w:val="22"/>
                <w:szCs w:val="22"/>
                <w:lang w:eastAsia="en-GB"/>
              </w:rPr>
              <w:t xml:space="preserve"> Sutherland </w:t>
            </w:r>
            <w:r w:rsidRPr="00793086">
              <w:rPr>
                <w:rFonts w:eastAsia="Times New Roman"/>
                <w:color w:val="000000"/>
                <w:sz w:val="22"/>
                <w:szCs w:val="22"/>
                <w:lang w:eastAsia="en-GB"/>
              </w:rPr>
              <w:t xml:space="preserve"> </w:t>
            </w:r>
          </w:p>
        </w:tc>
      </w:tr>
      <w:tr w:rsidR="00793086" w:rsidRPr="00793086" w:rsidTr="00793086">
        <w:trPr>
          <w:trHeight w:val="300"/>
        </w:trPr>
        <w:tc>
          <w:tcPr>
            <w:tcW w:w="4744" w:type="dxa"/>
            <w:tcBorders>
              <w:top w:val="nil"/>
              <w:left w:val="single" w:sz="4" w:space="0" w:color="auto"/>
              <w:bottom w:val="single" w:sz="4" w:space="0" w:color="auto"/>
              <w:right w:val="single" w:sz="4" w:space="0" w:color="auto"/>
            </w:tcBorders>
            <w:shd w:val="clear" w:color="000000" w:fill="F2DCDB"/>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xml:space="preserve">Heating replacements </w:t>
            </w:r>
          </w:p>
        </w:tc>
        <w:tc>
          <w:tcPr>
            <w:tcW w:w="2091" w:type="dxa"/>
            <w:tcBorders>
              <w:top w:val="nil"/>
              <w:left w:val="nil"/>
              <w:bottom w:val="single" w:sz="4" w:space="0" w:color="auto"/>
              <w:right w:val="single" w:sz="4" w:space="0" w:color="auto"/>
            </w:tcBorders>
            <w:shd w:val="clear" w:color="000000" w:fill="F2DCDB"/>
            <w:noWrap/>
            <w:vAlign w:val="bottom"/>
            <w:hideMark/>
          </w:tcPr>
          <w:p w:rsidR="00793086" w:rsidRPr="00793086" w:rsidRDefault="00793086" w:rsidP="00793086">
            <w:pPr>
              <w:jc w:val="right"/>
              <w:rPr>
                <w:rFonts w:eastAsia="Times New Roman"/>
                <w:color w:val="000000"/>
                <w:sz w:val="22"/>
                <w:szCs w:val="22"/>
                <w:lang w:eastAsia="en-GB"/>
              </w:rPr>
            </w:pPr>
            <w:r w:rsidRPr="00793086">
              <w:rPr>
                <w:rFonts w:eastAsia="Times New Roman"/>
                <w:color w:val="000000"/>
                <w:sz w:val="22"/>
                <w:szCs w:val="22"/>
                <w:lang w:eastAsia="en-GB"/>
              </w:rPr>
              <w:t>12</w:t>
            </w:r>
          </w:p>
        </w:tc>
        <w:tc>
          <w:tcPr>
            <w:tcW w:w="1478" w:type="dxa"/>
            <w:tcBorders>
              <w:top w:val="nil"/>
              <w:left w:val="nil"/>
              <w:bottom w:val="single" w:sz="4" w:space="0" w:color="auto"/>
              <w:right w:val="single" w:sz="4" w:space="0" w:color="auto"/>
            </w:tcBorders>
            <w:shd w:val="clear" w:color="000000" w:fill="F2DCDB"/>
            <w:noWrap/>
            <w:vAlign w:val="bottom"/>
            <w:hideMark/>
          </w:tcPr>
          <w:p w:rsidR="00793086" w:rsidRPr="00793086" w:rsidRDefault="00793086" w:rsidP="00793086">
            <w:pPr>
              <w:jc w:val="right"/>
              <w:rPr>
                <w:rFonts w:eastAsia="Times New Roman"/>
                <w:color w:val="000000"/>
                <w:sz w:val="22"/>
                <w:szCs w:val="22"/>
                <w:lang w:eastAsia="en-GB"/>
              </w:rPr>
            </w:pPr>
            <w:r w:rsidRPr="00793086">
              <w:rPr>
                <w:rFonts w:eastAsia="Times New Roman"/>
                <w:color w:val="000000"/>
                <w:sz w:val="22"/>
                <w:szCs w:val="22"/>
                <w:lang w:eastAsia="en-GB"/>
              </w:rPr>
              <w:t>£96,000</w:t>
            </w:r>
          </w:p>
        </w:tc>
        <w:tc>
          <w:tcPr>
            <w:tcW w:w="6161" w:type="dxa"/>
            <w:tcBorders>
              <w:top w:val="nil"/>
              <w:left w:val="nil"/>
              <w:bottom w:val="single" w:sz="4" w:space="0" w:color="auto"/>
              <w:right w:val="single" w:sz="4" w:space="0" w:color="auto"/>
            </w:tcBorders>
            <w:shd w:val="clear" w:color="000000" w:fill="F2DCDB"/>
            <w:noWrap/>
            <w:vAlign w:val="bottom"/>
            <w:hideMark/>
          </w:tcPr>
          <w:p w:rsidR="00793086" w:rsidRPr="00793086" w:rsidRDefault="00793086" w:rsidP="00793086">
            <w:pPr>
              <w:rPr>
                <w:rFonts w:eastAsia="Times New Roman"/>
                <w:color w:val="000000"/>
                <w:sz w:val="22"/>
                <w:szCs w:val="22"/>
                <w:lang w:eastAsia="en-GB"/>
              </w:rPr>
            </w:pPr>
            <w:r>
              <w:rPr>
                <w:rFonts w:eastAsia="Times New Roman"/>
                <w:color w:val="000000"/>
                <w:sz w:val="22"/>
                <w:szCs w:val="22"/>
                <w:lang w:eastAsia="en-GB"/>
              </w:rPr>
              <w:t xml:space="preserve">Oldest inefficient systems Sutherland </w:t>
            </w:r>
            <w:r w:rsidRPr="00793086">
              <w:rPr>
                <w:rFonts w:eastAsia="Times New Roman"/>
                <w:color w:val="000000"/>
                <w:sz w:val="22"/>
                <w:szCs w:val="22"/>
                <w:lang w:eastAsia="en-GB"/>
              </w:rPr>
              <w:t xml:space="preserve"> </w:t>
            </w:r>
          </w:p>
        </w:tc>
      </w:tr>
      <w:tr w:rsidR="00793086" w:rsidRPr="00793086" w:rsidTr="00793086">
        <w:trPr>
          <w:trHeight w:val="300"/>
        </w:trPr>
        <w:tc>
          <w:tcPr>
            <w:tcW w:w="4744" w:type="dxa"/>
            <w:tcBorders>
              <w:top w:val="nil"/>
              <w:left w:val="single" w:sz="4" w:space="0" w:color="auto"/>
              <w:bottom w:val="single" w:sz="4" w:space="0" w:color="auto"/>
              <w:right w:val="single" w:sz="4" w:space="0" w:color="auto"/>
            </w:tcBorders>
            <w:shd w:val="clear" w:color="000000" w:fill="F2DCDB"/>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xml:space="preserve">External Insulation </w:t>
            </w:r>
          </w:p>
        </w:tc>
        <w:tc>
          <w:tcPr>
            <w:tcW w:w="2091" w:type="dxa"/>
            <w:tcBorders>
              <w:top w:val="nil"/>
              <w:left w:val="nil"/>
              <w:bottom w:val="single" w:sz="4" w:space="0" w:color="auto"/>
              <w:right w:val="single" w:sz="4" w:space="0" w:color="auto"/>
            </w:tcBorders>
            <w:shd w:val="clear" w:color="000000" w:fill="F2DCDB"/>
            <w:noWrap/>
            <w:vAlign w:val="bottom"/>
            <w:hideMark/>
          </w:tcPr>
          <w:p w:rsidR="00793086" w:rsidRPr="00793086" w:rsidRDefault="00793086" w:rsidP="00793086">
            <w:pPr>
              <w:jc w:val="right"/>
              <w:rPr>
                <w:rFonts w:eastAsia="Times New Roman"/>
                <w:color w:val="000000"/>
                <w:sz w:val="22"/>
                <w:szCs w:val="22"/>
                <w:lang w:eastAsia="en-GB"/>
              </w:rPr>
            </w:pPr>
            <w:r w:rsidRPr="00793086">
              <w:rPr>
                <w:rFonts w:eastAsia="Times New Roman"/>
                <w:color w:val="000000"/>
                <w:sz w:val="22"/>
                <w:szCs w:val="22"/>
                <w:lang w:eastAsia="en-GB"/>
              </w:rPr>
              <w:t>20</w:t>
            </w:r>
          </w:p>
        </w:tc>
        <w:tc>
          <w:tcPr>
            <w:tcW w:w="1478" w:type="dxa"/>
            <w:tcBorders>
              <w:top w:val="nil"/>
              <w:left w:val="nil"/>
              <w:bottom w:val="single" w:sz="4" w:space="0" w:color="auto"/>
              <w:right w:val="single" w:sz="4" w:space="0" w:color="auto"/>
            </w:tcBorders>
            <w:shd w:val="clear" w:color="000000" w:fill="F2DCDB"/>
            <w:noWrap/>
            <w:vAlign w:val="bottom"/>
            <w:hideMark/>
          </w:tcPr>
          <w:p w:rsidR="00793086" w:rsidRPr="00793086" w:rsidRDefault="00793086" w:rsidP="00793086">
            <w:pPr>
              <w:jc w:val="right"/>
              <w:rPr>
                <w:rFonts w:eastAsia="Times New Roman"/>
                <w:color w:val="000000"/>
                <w:sz w:val="22"/>
                <w:szCs w:val="22"/>
                <w:lang w:eastAsia="en-GB"/>
              </w:rPr>
            </w:pPr>
            <w:r w:rsidRPr="00793086">
              <w:rPr>
                <w:rFonts w:eastAsia="Times New Roman"/>
                <w:color w:val="000000"/>
                <w:sz w:val="22"/>
                <w:szCs w:val="22"/>
                <w:lang w:eastAsia="en-GB"/>
              </w:rPr>
              <w:t>£300,000</w:t>
            </w:r>
          </w:p>
        </w:tc>
        <w:tc>
          <w:tcPr>
            <w:tcW w:w="6161" w:type="dxa"/>
            <w:tcBorders>
              <w:top w:val="nil"/>
              <w:left w:val="nil"/>
              <w:bottom w:val="single" w:sz="4" w:space="0" w:color="auto"/>
              <w:right w:val="single" w:sz="4" w:space="0" w:color="auto"/>
            </w:tcBorders>
            <w:shd w:val="clear" w:color="000000" w:fill="F2DCDB"/>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External Insulation works</w:t>
            </w:r>
            <w:r>
              <w:rPr>
                <w:rFonts w:eastAsia="Times New Roman"/>
                <w:color w:val="000000"/>
                <w:sz w:val="22"/>
                <w:szCs w:val="22"/>
                <w:lang w:eastAsia="en-GB"/>
              </w:rPr>
              <w:t xml:space="preserve"> Sutherland </w:t>
            </w:r>
            <w:r w:rsidRPr="00793086">
              <w:rPr>
                <w:rFonts w:eastAsia="Times New Roman"/>
                <w:color w:val="000000"/>
                <w:sz w:val="22"/>
                <w:szCs w:val="22"/>
                <w:lang w:eastAsia="en-GB"/>
              </w:rPr>
              <w:t xml:space="preserve"> </w:t>
            </w:r>
          </w:p>
        </w:tc>
      </w:tr>
      <w:tr w:rsidR="00793086" w:rsidRPr="00793086" w:rsidTr="00793086">
        <w:trPr>
          <w:trHeight w:val="300"/>
        </w:trPr>
        <w:tc>
          <w:tcPr>
            <w:tcW w:w="4744" w:type="dxa"/>
            <w:tcBorders>
              <w:top w:val="nil"/>
              <w:left w:val="single" w:sz="4" w:space="0" w:color="auto"/>
              <w:bottom w:val="single" w:sz="4" w:space="0" w:color="auto"/>
              <w:right w:val="single" w:sz="4" w:space="0" w:color="auto"/>
            </w:tcBorders>
            <w:shd w:val="clear" w:color="000000" w:fill="DCE6F1"/>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External Fabric (major component replacement)</w:t>
            </w:r>
          </w:p>
        </w:tc>
        <w:tc>
          <w:tcPr>
            <w:tcW w:w="2091" w:type="dxa"/>
            <w:tcBorders>
              <w:top w:val="nil"/>
              <w:left w:val="nil"/>
              <w:bottom w:val="single" w:sz="4" w:space="0" w:color="auto"/>
              <w:right w:val="single" w:sz="4" w:space="0" w:color="auto"/>
            </w:tcBorders>
            <w:shd w:val="clear" w:color="000000" w:fill="DCE6F1"/>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w:t>
            </w:r>
          </w:p>
        </w:tc>
        <w:tc>
          <w:tcPr>
            <w:tcW w:w="1478" w:type="dxa"/>
            <w:tcBorders>
              <w:top w:val="nil"/>
              <w:left w:val="nil"/>
              <w:bottom w:val="single" w:sz="4" w:space="0" w:color="auto"/>
              <w:right w:val="single" w:sz="4" w:space="0" w:color="auto"/>
            </w:tcBorders>
            <w:shd w:val="clear" w:color="000000" w:fill="DCE6F1"/>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w:t>
            </w:r>
          </w:p>
        </w:tc>
        <w:tc>
          <w:tcPr>
            <w:tcW w:w="6161" w:type="dxa"/>
            <w:tcBorders>
              <w:top w:val="nil"/>
              <w:left w:val="nil"/>
              <w:bottom w:val="single" w:sz="4" w:space="0" w:color="auto"/>
              <w:right w:val="single" w:sz="4" w:space="0" w:color="auto"/>
            </w:tcBorders>
            <w:shd w:val="clear" w:color="000000" w:fill="DCE6F1"/>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w:t>
            </w:r>
          </w:p>
        </w:tc>
      </w:tr>
      <w:tr w:rsidR="00793086" w:rsidRPr="00793086" w:rsidTr="00793086">
        <w:trPr>
          <w:trHeight w:val="300"/>
        </w:trPr>
        <w:tc>
          <w:tcPr>
            <w:tcW w:w="4744" w:type="dxa"/>
            <w:tcBorders>
              <w:top w:val="nil"/>
              <w:left w:val="single" w:sz="4" w:space="0" w:color="auto"/>
              <w:bottom w:val="single" w:sz="4" w:space="0" w:color="auto"/>
              <w:right w:val="single" w:sz="4" w:space="0" w:color="auto"/>
            </w:tcBorders>
            <w:shd w:val="clear" w:color="000000" w:fill="F2DCDB"/>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xml:space="preserve">External fabric works </w:t>
            </w:r>
          </w:p>
        </w:tc>
        <w:tc>
          <w:tcPr>
            <w:tcW w:w="2091" w:type="dxa"/>
            <w:tcBorders>
              <w:top w:val="nil"/>
              <w:left w:val="nil"/>
              <w:bottom w:val="single" w:sz="4" w:space="0" w:color="auto"/>
              <w:right w:val="single" w:sz="4" w:space="0" w:color="auto"/>
            </w:tcBorders>
            <w:shd w:val="clear" w:color="000000" w:fill="F2DCDB"/>
            <w:noWrap/>
            <w:vAlign w:val="bottom"/>
            <w:hideMark/>
          </w:tcPr>
          <w:p w:rsidR="00793086" w:rsidRPr="00793086" w:rsidRDefault="00793086" w:rsidP="00793086">
            <w:pPr>
              <w:jc w:val="right"/>
              <w:rPr>
                <w:rFonts w:eastAsia="Times New Roman"/>
                <w:color w:val="000000"/>
                <w:sz w:val="22"/>
                <w:szCs w:val="22"/>
                <w:lang w:eastAsia="en-GB"/>
              </w:rPr>
            </w:pPr>
            <w:r w:rsidRPr="00793086">
              <w:rPr>
                <w:rFonts w:eastAsia="Times New Roman"/>
                <w:color w:val="000000"/>
                <w:sz w:val="22"/>
                <w:szCs w:val="22"/>
                <w:lang w:eastAsia="en-GB"/>
              </w:rPr>
              <w:t xml:space="preserve">on demand </w:t>
            </w:r>
          </w:p>
        </w:tc>
        <w:tc>
          <w:tcPr>
            <w:tcW w:w="1478" w:type="dxa"/>
            <w:tcBorders>
              <w:top w:val="nil"/>
              <w:left w:val="nil"/>
              <w:bottom w:val="single" w:sz="4" w:space="0" w:color="auto"/>
              <w:right w:val="single" w:sz="4" w:space="0" w:color="auto"/>
            </w:tcBorders>
            <w:shd w:val="clear" w:color="000000" w:fill="F2DCDB"/>
            <w:noWrap/>
            <w:vAlign w:val="bottom"/>
            <w:hideMark/>
          </w:tcPr>
          <w:p w:rsidR="00793086" w:rsidRPr="00793086" w:rsidRDefault="00793086" w:rsidP="00793086">
            <w:pPr>
              <w:jc w:val="right"/>
              <w:rPr>
                <w:rFonts w:eastAsia="Times New Roman"/>
                <w:color w:val="000000"/>
                <w:sz w:val="22"/>
                <w:szCs w:val="22"/>
                <w:lang w:eastAsia="en-GB"/>
              </w:rPr>
            </w:pPr>
            <w:r w:rsidRPr="00793086">
              <w:rPr>
                <w:rFonts w:eastAsia="Times New Roman"/>
                <w:color w:val="000000"/>
                <w:sz w:val="22"/>
                <w:szCs w:val="22"/>
                <w:lang w:eastAsia="en-GB"/>
              </w:rPr>
              <w:t>£35,643</w:t>
            </w:r>
          </w:p>
        </w:tc>
        <w:tc>
          <w:tcPr>
            <w:tcW w:w="6161" w:type="dxa"/>
            <w:tcBorders>
              <w:top w:val="nil"/>
              <w:left w:val="nil"/>
              <w:bottom w:val="single" w:sz="4" w:space="0" w:color="auto"/>
              <w:right w:val="single" w:sz="4" w:space="0" w:color="auto"/>
            </w:tcBorders>
            <w:shd w:val="clear" w:color="000000" w:fill="F2DCDB"/>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xml:space="preserve">On demand works (harling, render, </w:t>
            </w:r>
            <w:proofErr w:type="spellStart"/>
            <w:r w:rsidRPr="00793086">
              <w:rPr>
                <w:rFonts w:eastAsia="Times New Roman"/>
                <w:color w:val="000000"/>
                <w:sz w:val="22"/>
                <w:szCs w:val="22"/>
                <w:lang w:eastAsia="en-GB"/>
              </w:rPr>
              <w:t>etc</w:t>
            </w:r>
            <w:proofErr w:type="spellEnd"/>
            <w:r w:rsidRPr="00793086">
              <w:rPr>
                <w:rFonts w:eastAsia="Times New Roman"/>
                <w:color w:val="000000"/>
                <w:sz w:val="22"/>
                <w:szCs w:val="22"/>
                <w:lang w:eastAsia="en-GB"/>
              </w:rPr>
              <w:t>)</w:t>
            </w:r>
            <w:r>
              <w:rPr>
                <w:rFonts w:eastAsia="Times New Roman"/>
                <w:color w:val="000000"/>
                <w:sz w:val="22"/>
                <w:szCs w:val="22"/>
                <w:lang w:eastAsia="en-GB"/>
              </w:rPr>
              <w:t xml:space="preserve"> Sutherland </w:t>
            </w:r>
            <w:r w:rsidRPr="00793086">
              <w:rPr>
                <w:rFonts w:eastAsia="Times New Roman"/>
                <w:color w:val="000000"/>
                <w:sz w:val="22"/>
                <w:szCs w:val="22"/>
                <w:lang w:eastAsia="en-GB"/>
              </w:rPr>
              <w:t xml:space="preserve"> </w:t>
            </w:r>
          </w:p>
        </w:tc>
      </w:tr>
      <w:tr w:rsidR="00793086" w:rsidRPr="00793086" w:rsidTr="00793086">
        <w:trPr>
          <w:trHeight w:val="300"/>
        </w:trPr>
        <w:tc>
          <w:tcPr>
            <w:tcW w:w="4744" w:type="dxa"/>
            <w:tcBorders>
              <w:top w:val="nil"/>
              <w:left w:val="single" w:sz="4" w:space="0" w:color="auto"/>
              <w:bottom w:val="single" w:sz="4" w:space="0" w:color="auto"/>
              <w:right w:val="single" w:sz="4" w:space="0" w:color="auto"/>
            </w:tcBorders>
            <w:shd w:val="clear" w:color="000000" w:fill="DCE6F1"/>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xml:space="preserve">External fabric (environmental improvements) </w:t>
            </w:r>
          </w:p>
        </w:tc>
        <w:tc>
          <w:tcPr>
            <w:tcW w:w="2091" w:type="dxa"/>
            <w:tcBorders>
              <w:top w:val="nil"/>
              <w:left w:val="nil"/>
              <w:bottom w:val="single" w:sz="4" w:space="0" w:color="auto"/>
              <w:right w:val="single" w:sz="4" w:space="0" w:color="auto"/>
            </w:tcBorders>
            <w:shd w:val="clear" w:color="000000" w:fill="DCE6F1"/>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w:t>
            </w:r>
          </w:p>
        </w:tc>
        <w:tc>
          <w:tcPr>
            <w:tcW w:w="1478" w:type="dxa"/>
            <w:tcBorders>
              <w:top w:val="nil"/>
              <w:left w:val="nil"/>
              <w:bottom w:val="single" w:sz="4" w:space="0" w:color="auto"/>
              <w:right w:val="single" w:sz="4" w:space="0" w:color="auto"/>
            </w:tcBorders>
            <w:shd w:val="clear" w:color="000000" w:fill="DCE6F1"/>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w:t>
            </w:r>
          </w:p>
        </w:tc>
        <w:tc>
          <w:tcPr>
            <w:tcW w:w="6161" w:type="dxa"/>
            <w:tcBorders>
              <w:top w:val="nil"/>
              <w:left w:val="nil"/>
              <w:bottom w:val="single" w:sz="4" w:space="0" w:color="auto"/>
              <w:right w:val="single" w:sz="4" w:space="0" w:color="auto"/>
            </w:tcBorders>
            <w:shd w:val="clear" w:color="000000" w:fill="DCE6F1"/>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w:t>
            </w:r>
          </w:p>
        </w:tc>
      </w:tr>
      <w:tr w:rsidR="00793086" w:rsidRPr="00793086" w:rsidTr="00793086">
        <w:trPr>
          <w:trHeight w:val="300"/>
        </w:trPr>
        <w:tc>
          <w:tcPr>
            <w:tcW w:w="4744" w:type="dxa"/>
            <w:tcBorders>
              <w:top w:val="nil"/>
              <w:left w:val="single" w:sz="4" w:space="0" w:color="auto"/>
              <w:bottom w:val="single" w:sz="4" w:space="0" w:color="auto"/>
              <w:right w:val="single" w:sz="4" w:space="0" w:color="auto"/>
            </w:tcBorders>
            <w:shd w:val="clear" w:color="000000" w:fill="F2DCDB"/>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xml:space="preserve">Environmental Improvements Sutherland </w:t>
            </w:r>
          </w:p>
        </w:tc>
        <w:tc>
          <w:tcPr>
            <w:tcW w:w="2091" w:type="dxa"/>
            <w:tcBorders>
              <w:top w:val="nil"/>
              <w:left w:val="nil"/>
              <w:bottom w:val="single" w:sz="4" w:space="0" w:color="auto"/>
              <w:right w:val="single" w:sz="4" w:space="0" w:color="auto"/>
            </w:tcBorders>
            <w:shd w:val="clear" w:color="000000" w:fill="F2DCDB"/>
            <w:noWrap/>
            <w:vAlign w:val="bottom"/>
            <w:hideMark/>
          </w:tcPr>
          <w:p w:rsidR="00793086" w:rsidRPr="00793086" w:rsidRDefault="00793086" w:rsidP="00793086">
            <w:pPr>
              <w:jc w:val="right"/>
              <w:rPr>
                <w:rFonts w:eastAsia="Times New Roman"/>
                <w:color w:val="000000"/>
                <w:sz w:val="22"/>
                <w:szCs w:val="22"/>
                <w:lang w:eastAsia="en-GB"/>
              </w:rPr>
            </w:pPr>
            <w:r w:rsidRPr="00793086">
              <w:rPr>
                <w:rFonts w:eastAsia="Times New Roman"/>
                <w:color w:val="000000"/>
                <w:sz w:val="22"/>
                <w:szCs w:val="22"/>
                <w:lang w:eastAsia="en-GB"/>
              </w:rPr>
              <w:t xml:space="preserve">Member led </w:t>
            </w:r>
          </w:p>
        </w:tc>
        <w:tc>
          <w:tcPr>
            <w:tcW w:w="1478" w:type="dxa"/>
            <w:tcBorders>
              <w:top w:val="nil"/>
              <w:left w:val="nil"/>
              <w:bottom w:val="single" w:sz="4" w:space="0" w:color="auto"/>
              <w:right w:val="single" w:sz="4" w:space="0" w:color="auto"/>
            </w:tcBorders>
            <w:shd w:val="clear" w:color="000000" w:fill="F2DCDB"/>
            <w:noWrap/>
            <w:vAlign w:val="bottom"/>
            <w:hideMark/>
          </w:tcPr>
          <w:p w:rsidR="00793086" w:rsidRPr="00793086" w:rsidRDefault="00793086" w:rsidP="00793086">
            <w:pPr>
              <w:jc w:val="right"/>
              <w:rPr>
                <w:rFonts w:eastAsia="Times New Roman"/>
                <w:color w:val="000000"/>
                <w:sz w:val="22"/>
                <w:szCs w:val="22"/>
                <w:lang w:eastAsia="en-GB"/>
              </w:rPr>
            </w:pPr>
            <w:r w:rsidRPr="00793086">
              <w:rPr>
                <w:rFonts w:eastAsia="Times New Roman"/>
                <w:color w:val="000000"/>
                <w:sz w:val="22"/>
                <w:szCs w:val="22"/>
                <w:lang w:eastAsia="en-GB"/>
              </w:rPr>
              <w:t>£51,402</w:t>
            </w:r>
          </w:p>
        </w:tc>
        <w:tc>
          <w:tcPr>
            <w:tcW w:w="6161" w:type="dxa"/>
            <w:tcBorders>
              <w:top w:val="nil"/>
              <w:left w:val="nil"/>
              <w:bottom w:val="single" w:sz="4" w:space="0" w:color="auto"/>
              <w:right w:val="single" w:sz="4" w:space="0" w:color="auto"/>
            </w:tcBorders>
            <w:shd w:val="clear" w:color="000000" w:fill="F2DCDB"/>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xml:space="preserve">Member led budget </w:t>
            </w:r>
          </w:p>
        </w:tc>
      </w:tr>
      <w:tr w:rsidR="00793086" w:rsidRPr="00793086" w:rsidTr="00793086">
        <w:trPr>
          <w:trHeight w:val="300"/>
        </w:trPr>
        <w:tc>
          <w:tcPr>
            <w:tcW w:w="4744" w:type="dxa"/>
            <w:tcBorders>
              <w:top w:val="nil"/>
              <w:left w:val="single" w:sz="4" w:space="0" w:color="auto"/>
              <w:bottom w:val="single" w:sz="4" w:space="0" w:color="auto"/>
              <w:right w:val="single" w:sz="4" w:space="0" w:color="auto"/>
            </w:tcBorders>
            <w:shd w:val="clear" w:color="auto" w:fill="auto"/>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w:t>
            </w:r>
          </w:p>
        </w:tc>
        <w:tc>
          <w:tcPr>
            <w:tcW w:w="2091" w:type="dxa"/>
            <w:tcBorders>
              <w:top w:val="nil"/>
              <w:left w:val="nil"/>
              <w:bottom w:val="single" w:sz="4" w:space="0" w:color="auto"/>
              <w:right w:val="single" w:sz="4" w:space="0" w:color="auto"/>
            </w:tcBorders>
            <w:shd w:val="clear" w:color="auto" w:fill="auto"/>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w:t>
            </w:r>
          </w:p>
        </w:tc>
        <w:tc>
          <w:tcPr>
            <w:tcW w:w="1478" w:type="dxa"/>
            <w:tcBorders>
              <w:top w:val="nil"/>
              <w:left w:val="nil"/>
              <w:bottom w:val="single" w:sz="4" w:space="0" w:color="auto"/>
              <w:right w:val="single" w:sz="4" w:space="0" w:color="auto"/>
            </w:tcBorders>
            <w:shd w:val="clear" w:color="auto" w:fill="auto"/>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w:t>
            </w:r>
          </w:p>
        </w:tc>
        <w:tc>
          <w:tcPr>
            <w:tcW w:w="6161" w:type="dxa"/>
            <w:tcBorders>
              <w:top w:val="nil"/>
              <w:left w:val="nil"/>
              <w:bottom w:val="single" w:sz="4" w:space="0" w:color="auto"/>
              <w:right w:val="single" w:sz="4" w:space="0" w:color="auto"/>
            </w:tcBorders>
            <w:shd w:val="clear" w:color="auto" w:fill="auto"/>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w:t>
            </w:r>
          </w:p>
        </w:tc>
      </w:tr>
      <w:tr w:rsidR="00793086" w:rsidRPr="00793086" w:rsidTr="00793086">
        <w:trPr>
          <w:trHeight w:val="300"/>
        </w:trPr>
        <w:tc>
          <w:tcPr>
            <w:tcW w:w="4744" w:type="dxa"/>
            <w:tcBorders>
              <w:top w:val="nil"/>
              <w:left w:val="single" w:sz="4" w:space="0" w:color="auto"/>
              <w:bottom w:val="single" w:sz="4" w:space="0" w:color="auto"/>
              <w:right w:val="single" w:sz="4" w:space="0" w:color="auto"/>
            </w:tcBorders>
            <w:shd w:val="clear" w:color="auto" w:fill="auto"/>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xml:space="preserve">Overall programme total </w:t>
            </w:r>
          </w:p>
        </w:tc>
        <w:tc>
          <w:tcPr>
            <w:tcW w:w="2091" w:type="dxa"/>
            <w:tcBorders>
              <w:top w:val="nil"/>
              <w:left w:val="nil"/>
              <w:bottom w:val="single" w:sz="4" w:space="0" w:color="auto"/>
              <w:right w:val="single" w:sz="4" w:space="0" w:color="auto"/>
            </w:tcBorders>
            <w:shd w:val="clear" w:color="auto" w:fill="auto"/>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w:t>
            </w:r>
          </w:p>
        </w:tc>
        <w:tc>
          <w:tcPr>
            <w:tcW w:w="1478" w:type="dxa"/>
            <w:tcBorders>
              <w:top w:val="nil"/>
              <w:left w:val="nil"/>
              <w:bottom w:val="single" w:sz="4" w:space="0" w:color="auto"/>
              <w:right w:val="single" w:sz="4" w:space="0" w:color="auto"/>
            </w:tcBorders>
            <w:shd w:val="clear" w:color="auto" w:fill="auto"/>
            <w:noWrap/>
            <w:vAlign w:val="bottom"/>
            <w:hideMark/>
          </w:tcPr>
          <w:p w:rsidR="00793086" w:rsidRPr="00793086" w:rsidRDefault="00793086" w:rsidP="00793086">
            <w:pPr>
              <w:jc w:val="right"/>
              <w:rPr>
                <w:rFonts w:eastAsia="Times New Roman"/>
                <w:color w:val="000000"/>
                <w:sz w:val="22"/>
                <w:szCs w:val="22"/>
                <w:lang w:eastAsia="en-GB"/>
              </w:rPr>
            </w:pPr>
            <w:r w:rsidRPr="00793086">
              <w:rPr>
                <w:rFonts w:eastAsia="Times New Roman"/>
                <w:color w:val="000000"/>
                <w:sz w:val="22"/>
                <w:szCs w:val="22"/>
                <w:lang w:eastAsia="en-GB"/>
              </w:rPr>
              <w:t>£1,095,045</w:t>
            </w:r>
          </w:p>
        </w:tc>
        <w:tc>
          <w:tcPr>
            <w:tcW w:w="6161" w:type="dxa"/>
            <w:tcBorders>
              <w:top w:val="nil"/>
              <w:left w:val="nil"/>
              <w:bottom w:val="single" w:sz="4" w:space="0" w:color="auto"/>
              <w:right w:val="single" w:sz="4" w:space="0" w:color="auto"/>
            </w:tcBorders>
            <w:shd w:val="clear" w:color="auto" w:fill="auto"/>
            <w:noWrap/>
            <w:vAlign w:val="bottom"/>
            <w:hideMark/>
          </w:tcPr>
          <w:p w:rsidR="00793086" w:rsidRPr="00793086" w:rsidRDefault="00793086" w:rsidP="00793086">
            <w:pPr>
              <w:rPr>
                <w:rFonts w:eastAsia="Times New Roman"/>
                <w:color w:val="000000"/>
                <w:sz w:val="22"/>
                <w:szCs w:val="22"/>
                <w:lang w:eastAsia="en-GB"/>
              </w:rPr>
            </w:pPr>
            <w:r w:rsidRPr="00793086">
              <w:rPr>
                <w:rFonts w:eastAsia="Times New Roman"/>
                <w:color w:val="000000"/>
                <w:sz w:val="22"/>
                <w:szCs w:val="22"/>
                <w:lang w:eastAsia="en-GB"/>
              </w:rPr>
              <w:t> </w:t>
            </w:r>
          </w:p>
        </w:tc>
      </w:tr>
    </w:tbl>
    <w:p w:rsidR="00793086" w:rsidRDefault="00793086" w:rsidP="00DC6B3B"/>
    <w:sectPr w:rsidR="00793086" w:rsidSect="00943289">
      <w:pgSz w:w="16838" w:h="11906" w:orient="landscape"/>
      <w:pgMar w:top="993" w:right="992"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75C" w:rsidRDefault="00CC075C" w:rsidP="007135AE">
      <w:r>
        <w:separator/>
      </w:r>
    </w:p>
  </w:endnote>
  <w:endnote w:type="continuationSeparator" w:id="0">
    <w:p w:rsidR="00CC075C" w:rsidRDefault="00CC075C" w:rsidP="0071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13F" w:rsidRDefault="008F41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13F" w:rsidRDefault="008F41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13F" w:rsidRDefault="008F41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75C" w:rsidRDefault="00CC075C" w:rsidP="007135AE">
      <w:r>
        <w:separator/>
      </w:r>
    </w:p>
  </w:footnote>
  <w:footnote w:type="continuationSeparator" w:id="0">
    <w:p w:rsidR="00CC075C" w:rsidRDefault="00CC075C" w:rsidP="00713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13F" w:rsidRDefault="008F41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13F" w:rsidRDefault="008F41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13F" w:rsidRDefault="008F41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285A"/>
    <w:multiLevelType w:val="hybridMultilevel"/>
    <w:tmpl w:val="8E38A71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2711F8"/>
    <w:multiLevelType w:val="hybridMultilevel"/>
    <w:tmpl w:val="494AEA50"/>
    <w:lvl w:ilvl="0" w:tplc="F56E34D6">
      <w:numFmt w:val="bullet"/>
      <w:lvlText w:val="•"/>
      <w:lvlJc w:val="left"/>
      <w:pPr>
        <w:ind w:left="678" w:hanging="360"/>
      </w:pPr>
      <w:rPr>
        <w:rFonts w:ascii="Arial" w:eastAsia="Times New Roman" w:hAnsi="Arial" w:cs="Aria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2">
    <w:nsid w:val="08C22A4C"/>
    <w:multiLevelType w:val="hybridMultilevel"/>
    <w:tmpl w:val="A82C527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EF74E0"/>
    <w:multiLevelType w:val="hybridMultilevel"/>
    <w:tmpl w:val="3326C45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A67A7C"/>
    <w:multiLevelType w:val="hybridMultilevel"/>
    <w:tmpl w:val="6296A9A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2E1015"/>
    <w:multiLevelType w:val="hybridMultilevel"/>
    <w:tmpl w:val="5908E6F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67295D"/>
    <w:multiLevelType w:val="hybridMultilevel"/>
    <w:tmpl w:val="1A9E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0873C8"/>
    <w:multiLevelType w:val="hybridMultilevel"/>
    <w:tmpl w:val="4686FA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9041514"/>
    <w:multiLevelType w:val="hybridMultilevel"/>
    <w:tmpl w:val="C408D7F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3C43D0B"/>
    <w:multiLevelType w:val="hybridMultilevel"/>
    <w:tmpl w:val="0CCAFC70"/>
    <w:lvl w:ilvl="0" w:tplc="08090001">
      <w:start w:val="1"/>
      <w:numFmt w:val="bullet"/>
      <w:lvlText w:val=""/>
      <w:lvlJc w:val="left"/>
      <w:pPr>
        <w:ind w:left="678" w:hanging="360"/>
      </w:pPr>
      <w:rPr>
        <w:rFonts w:ascii="Symbol" w:hAnsi="Symbo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10">
    <w:nsid w:val="543244FE"/>
    <w:multiLevelType w:val="hybridMultilevel"/>
    <w:tmpl w:val="2096857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46E3AF8"/>
    <w:multiLevelType w:val="hybridMultilevel"/>
    <w:tmpl w:val="EE88846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91C3E10"/>
    <w:multiLevelType w:val="hybridMultilevel"/>
    <w:tmpl w:val="CED43D76"/>
    <w:lvl w:ilvl="0" w:tplc="B5FAD6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D76516C"/>
    <w:multiLevelType w:val="hybridMultilevel"/>
    <w:tmpl w:val="A580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115F80"/>
    <w:multiLevelType w:val="hybridMultilevel"/>
    <w:tmpl w:val="D51C492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6481C6D"/>
    <w:multiLevelType w:val="hybridMultilevel"/>
    <w:tmpl w:val="62281AAA"/>
    <w:lvl w:ilvl="0" w:tplc="08090013">
      <w:start w:val="1"/>
      <w:numFmt w:val="upperRoman"/>
      <w:lvlText w:val="%1."/>
      <w:lvlJc w:val="righ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91D4C12"/>
    <w:multiLevelType w:val="hybridMultilevel"/>
    <w:tmpl w:val="0F686FF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5"/>
  </w:num>
  <w:num w:numId="5">
    <w:abstractNumId w:val="4"/>
  </w:num>
  <w:num w:numId="6">
    <w:abstractNumId w:val="2"/>
  </w:num>
  <w:num w:numId="7">
    <w:abstractNumId w:val="11"/>
  </w:num>
  <w:num w:numId="8">
    <w:abstractNumId w:val="3"/>
  </w:num>
  <w:num w:numId="9">
    <w:abstractNumId w:val="14"/>
  </w:num>
  <w:num w:numId="10">
    <w:abstractNumId w:val="16"/>
  </w:num>
  <w:num w:numId="11">
    <w:abstractNumId w:val="0"/>
  </w:num>
  <w:num w:numId="12">
    <w:abstractNumId w:val="15"/>
  </w:num>
  <w:num w:numId="13">
    <w:abstractNumId w:val="7"/>
  </w:num>
  <w:num w:numId="14">
    <w:abstractNumId w:val="10"/>
  </w:num>
  <w:num w:numId="15">
    <w:abstractNumId w:val="6"/>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886"/>
    <w:rsid w:val="00025B2B"/>
    <w:rsid w:val="000900FA"/>
    <w:rsid w:val="00125695"/>
    <w:rsid w:val="0014628A"/>
    <w:rsid w:val="0015034F"/>
    <w:rsid w:val="00150AA0"/>
    <w:rsid w:val="001750CB"/>
    <w:rsid w:val="00197EA5"/>
    <w:rsid w:val="001A2226"/>
    <w:rsid w:val="001B2B9D"/>
    <w:rsid w:val="001E737E"/>
    <w:rsid w:val="001F1DCD"/>
    <w:rsid w:val="001F661A"/>
    <w:rsid w:val="00207491"/>
    <w:rsid w:val="00240A67"/>
    <w:rsid w:val="002C7768"/>
    <w:rsid w:val="002D4D93"/>
    <w:rsid w:val="002F3A73"/>
    <w:rsid w:val="003055A5"/>
    <w:rsid w:val="0031745D"/>
    <w:rsid w:val="00344E75"/>
    <w:rsid w:val="00366ED8"/>
    <w:rsid w:val="003733C4"/>
    <w:rsid w:val="003B700B"/>
    <w:rsid w:val="003C4600"/>
    <w:rsid w:val="003E5B1C"/>
    <w:rsid w:val="003F22B4"/>
    <w:rsid w:val="0042146D"/>
    <w:rsid w:val="0042310B"/>
    <w:rsid w:val="00435F2F"/>
    <w:rsid w:val="00443606"/>
    <w:rsid w:val="004449C2"/>
    <w:rsid w:val="004722F9"/>
    <w:rsid w:val="0047327F"/>
    <w:rsid w:val="00477A61"/>
    <w:rsid w:val="0048590D"/>
    <w:rsid w:val="00487CD5"/>
    <w:rsid w:val="00495A88"/>
    <w:rsid w:val="004C6371"/>
    <w:rsid w:val="004F2C6D"/>
    <w:rsid w:val="004F68C5"/>
    <w:rsid w:val="00514BBC"/>
    <w:rsid w:val="00530D68"/>
    <w:rsid w:val="0053281F"/>
    <w:rsid w:val="005477EA"/>
    <w:rsid w:val="00554A57"/>
    <w:rsid w:val="00574D8E"/>
    <w:rsid w:val="00591380"/>
    <w:rsid w:val="00597983"/>
    <w:rsid w:val="00614E94"/>
    <w:rsid w:val="00625CAA"/>
    <w:rsid w:val="00635358"/>
    <w:rsid w:val="00660230"/>
    <w:rsid w:val="006C582D"/>
    <w:rsid w:val="007135AE"/>
    <w:rsid w:val="00735A47"/>
    <w:rsid w:val="00737C3D"/>
    <w:rsid w:val="00744359"/>
    <w:rsid w:val="00756DCB"/>
    <w:rsid w:val="007603DC"/>
    <w:rsid w:val="00793086"/>
    <w:rsid w:val="007B687F"/>
    <w:rsid w:val="007C3BA9"/>
    <w:rsid w:val="007D3428"/>
    <w:rsid w:val="007E3A7D"/>
    <w:rsid w:val="007E7E2D"/>
    <w:rsid w:val="00801FBF"/>
    <w:rsid w:val="00810502"/>
    <w:rsid w:val="00812700"/>
    <w:rsid w:val="00816DCD"/>
    <w:rsid w:val="0083659A"/>
    <w:rsid w:val="00843722"/>
    <w:rsid w:val="0084372E"/>
    <w:rsid w:val="008529A3"/>
    <w:rsid w:val="00886BAA"/>
    <w:rsid w:val="00890327"/>
    <w:rsid w:val="008966F2"/>
    <w:rsid w:val="008A15BC"/>
    <w:rsid w:val="008A16C1"/>
    <w:rsid w:val="008A70C1"/>
    <w:rsid w:val="008B36CF"/>
    <w:rsid w:val="008C281A"/>
    <w:rsid w:val="008C36C5"/>
    <w:rsid w:val="008C6886"/>
    <w:rsid w:val="008C6DE6"/>
    <w:rsid w:val="008F413F"/>
    <w:rsid w:val="008F47E9"/>
    <w:rsid w:val="00917D9E"/>
    <w:rsid w:val="00926987"/>
    <w:rsid w:val="009423C8"/>
    <w:rsid w:val="00943289"/>
    <w:rsid w:val="00954705"/>
    <w:rsid w:val="00955051"/>
    <w:rsid w:val="00963DE0"/>
    <w:rsid w:val="00973CBB"/>
    <w:rsid w:val="009A0173"/>
    <w:rsid w:val="009F4A33"/>
    <w:rsid w:val="009F7549"/>
    <w:rsid w:val="00A01F3D"/>
    <w:rsid w:val="00A17759"/>
    <w:rsid w:val="00A40620"/>
    <w:rsid w:val="00A81B85"/>
    <w:rsid w:val="00A922F1"/>
    <w:rsid w:val="00AC6AC6"/>
    <w:rsid w:val="00B00C5E"/>
    <w:rsid w:val="00B33945"/>
    <w:rsid w:val="00B45947"/>
    <w:rsid w:val="00B65DAB"/>
    <w:rsid w:val="00B6730A"/>
    <w:rsid w:val="00B722F7"/>
    <w:rsid w:val="00C03048"/>
    <w:rsid w:val="00C335A4"/>
    <w:rsid w:val="00C4462A"/>
    <w:rsid w:val="00C5798A"/>
    <w:rsid w:val="00C835A3"/>
    <w:rsid w:val="00C84AF7"/>
    <w:rsid w:val="00C974F1"/>
    <w:rsid w:val="00C97F84"/>
    <w:rsid w:val="00CC075C"/>
    <w:rsid w:val="00CC4355"/>
    <w:rsid w:val="00CC730E"/>
    <w:rsid w:val="00CC781B"/>
    <w:rsid w:val="00CD2CEC"/>
    <w:rsid w:val="00D349F5"/>
    <w:rsid w:val="00D56276"/>
    <w:rsid w:val="00D76D11"/>
    <w:rsid w:val="00D86245"/>
    <w:rsid w:val="00DC6B3B"/>
    <w:rsid w:val="00E01B89"/>
    <w:rsid w:val="00E807CD"/>
    <w:rsid w:val="00E86AC4"/>
    <w:rsid w:val="00EC0B9C"/>
    <w:rsid w:val="00EC6C16"/>
    <w:rsid w:val="00ED167C"/>
    <w:rsid w:val="00ED1D14"/>
    <w:rsid w:val="00F34464"/>
    <w:rsid w:val="00F647AB"/>
    <w:rsid w:val="00F75CE7"/>
    <w:rsid w:val="00F837C1"/>
    <w:rsid w:val="00F92D52"/>
    <w:rsid w:val="00FD7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5AE"/>
    <w:pPr>
      <w:tabs>
        <w:tab w:val="center" w:pos="4513"/>
        <w:tab w:val="right" w:pos="9026"/>
      </w:tabs>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uiPriority w:val="99"/>
    <w:rsid w:val="007135AE"/>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7135AE"/>
    <w:pPr>
      <w:tabs>
        <w:tab w:val="center" w:pos="4513"/>
        <w:tab w:val="right" w:pos="9026"/>
      </w:tabs>
    </w:pPr>
  </w:style>
  <w:style w:type="character" w:customStyle="1" w:styleId="FooterChar">
    <w:name w:val="Footer Char"/>
    <w:basedOn w:val="DefaultParagraphFont"/>
    <w:link w:val="Footer"/>
    <w:uiPriority w:val="99"/>
    <w:rsid w:val="007135AE"/>
  </w:style>
  <w:style w:type="paragraph" w:styleId="ListParagraph">
    <w:name w:val="List Paragraph"/>
    <w:basedOn w:val="Normal"/>
    <w:uiPriority w:val="34"/>
    <w:qFormat/>
    <w:rsid w:val="00B65DAB"/>
    <w:pPr>
      <w:ind w:left="720"/>
      <w:contextualSpacing/>
    </w:pPr>
  </w:style>
  <w:style w:type="paragraph" w:customStyle="1" w:styleId="Default">
    <w:name w:val="Default"/>
    <w:rsid w:val="00917D9E"/>
    <w:pPr>
      <w:autoSpaceDE w:val="0"/>
      <w:autoSpaceDN w:val="0"/>
      <w:adjustRightInd w:val="0"/>
    </w:pPr>
    <w:rPr>
      <w:color w:val="000000"/>
    </w:rPr>
  </w:style>
  <w:style w:type="table" w:styleId="TableGrid">
    <w:name w:val="Table Grid"/>
    <w:basedOn w:val="TableNormal"/>
    <w:uiPriority w:val="59"/>
    <w:rsid w:val="00737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730A"/>
    <w:rPr>
      <w:rFonts w:ascii="Tahoma" w:hAnsi="Tahoma" w:cs="Tahoma"/>
      <w:sz w:val="16"/>
      <w:szCs w:val="16"/>
    </w:rPr>
  </w:style>
  <w:style w:type="character" w:customStyle="1" w:styleId="BalloonTextChar">
    <w:name w:val="Balloon Text Char"/>
    <w:basedOn w:val="DefaultParagraphFont"/>
    <w:link w:val="BalloonText"/>
    <w:uiPriority w:val="99"/>
    <w:semiHidden/>
    <w:rsid w:val="00B6730A"/>
    <w:rPr>
      <w:rFonts w:ascii="Tahoma" w:hAnsi="Tahoma" w:cs="Tahoma"/>
      <w:sz w:val="16"/>
      <w:szCs w:val="16"/>
    </w:rPr>
  </w:style>
  <w:style w:type="character" w:styleId="LineNumber">
    <w:name w:val="line number"/>
    <w:basedOn w:val="DefaultParagraphFont"/>
    <w:uiPriority w:val="99"/>
    <w:semiHidden/>
    <w:unhideWhenUsed/>
    <w:rsid w:val="001E73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5AE"/>
    <w:pPr>
      <w:tabs>
        <w:tab w:val="center" w:pos="4513"/>
        <w:tab w:val="right" w:pos="9026"/>
      </w:tabs>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uiPriority w:val="99"/>
    <w:rsid w:val="007135AE"/>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7135AE"/>
    <w:pPr>
      <w:tabs>
        <w:tab w:val="center" w:pos="4513"/>
        <w:tab w:val="right" w:pos="9026"/>
      </w:tabs>
    </w:pPr>
  </w:style>
  <w:style w:type="character" w:customStyle="1" w:styleId="FooterChar">
    <w:name w:val="Footer Char"/>
    <w:basedOn w:val="DefaultParagraphFont"/>
    <w:link w:val="Footer"/>
    <w:uiPriority w:val="99"/>
    <w:rsid w:val="007135AE"/>
  </w:style>
  <w:style w:type="paragraph" w:styleId="ListParagraph">
    <w:name w:val="List Paragraph"/>
    <w:basedOn w:val="Normal"/>
    <w:uiPriority w:val="34"/>
    <w:qFormat/>
    <w:rsid w:val="00B65DAB"/>
    <w:pPr>
      <w:ind w:left="720"/>
      <w:contextualSpacing/>
    </w:pPr>
  </w:style>
  <w:style w:type="paragraph" w:customStyle="1" w:styleId="Default">
    <w:name w:val="Default"/>
    <w:rsid w:val="00917D9E"/>
    <w:pPr>
      <w:autoSpaceDE w:val="0"/>
      <w:autoSpaceDN w:val="0"/>
      <w:adjustRightInd w:val="0"/>
    </w:pPr>
    <w:rPr>
      <w:color w:val="000000"/>
    </w:rPr>
  </w:style>
  <w:style w:type="table" w:styleId="TableGrid">
    <w:name w:val="Table Grid"/>
    <w:basedOn w:val="TableNormal"/>
    <w:uiPriority w:val="59"/>
    <w:rsid w:val="00737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730A"/>
    <w:rPr>
      <w:rFonts w:ascii="Tahoma" w:hAnsi="Tahoma" w:cs="Tahoma"/>
      <w:sz w:val="16"/>
      <w:szCs w:val="16"/>
    </w:rPr>
  </w:style>
  <w:style w:type="character" w:customStyle="1" w:styleId="BalloonTextChar">
    <w:name w:val="Balloon Text Char"/>
    <w:basedOn w:val="DefaultParagraphFont"/>
    <w:link w:val="BalloonText"/>
    <w:uiPriority w:val="99"/>
    <w:semiHidden/>
    <w:rsid w:val="00B6730A"/>
    <w:rPr>
      <w:rFonts w:ascii="Tahoma" w:hAnsi="Tahoma" w:cs="Tahoma"/>
      <w:sz w:val="16"/>
      <w:szCs w:val="16"/>
    </w:rPr>
  </w:style>
  <w:style w:type="character" w:styleId="LineNumber">
    <w:name w:val="line number"/>
    <w:basedOn w:val="DefaultParagraphFont"/>
    <w:uiPriority w:val="99"/>
    <w:semiHidden/>
    <w:unhideWhenUsed/>
    <w:rsid w:val="001E7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49342">
      <w:bodyDiv w:val="1"/>
      <w:marLeft w:val="0"/>
      <w:marRight w:val="0"/>
      <w:marTop w:val="0"/>
      <w:marBottom w:val="0"/>
      <w:divBdr>
        <w:top w:val="none" w:sz="0" w:space="0" w:color="auto"/>
        <w:left w:val="none" w:sz="0" w:space="0" w:color="auto"/>
        <w:bottom w:val="none" w:sz="0" w:space="0" w:color="auto"/>
        <w:right w:val="none" w:sz="0" w:space="0" w:color="auto"/>
      </w:divBdr>
    </w:div>
    <w:div w:id="141313857">
      <w:bodyDiv w:val="1"/>
      <w:marLeft w:val="0"/>
      <w:marRight w:val="0"/>
      <w:marTop w:val="0"/>
      <w:marBottom w:val="0"/>
      <w:divBdr>
        <w:top w:val="none" w:sz="0" w:space="0" w:color="auto"/>
        <w:left w:val="none" w:sz="0" w:space="0" w:color="auto"/>
        <w:bottom w:val="none" w:sz="0" w:space="0" w:color="auto"/>
        <w:right w:val="none" w:sz="0" w:space="0" w:color="auto"/>
      </w:divBdr>
    </w:div>
    <w:div w:id="205483261">
      <w:bodyDiv w:val="1"/>
      <w:marLeft w:val="0"/>
      <w:marRight w:val="0"/>
      <w:marTop w:val="0"/>
      <w:marBottom w:val="0"/>
      <w:divBdr>
        <w:top w:val="none" w:sz="0" w:space="0" w:color="auto"/>
        <w:left w:val="none" w:sz="0" w:space="0" w:color="auto"/>
        <w:bottom w:val="none" w:sz="0" w:space="0" w:color="auto"/>
        <w:right w:val="none" w:sz="0" w:space="0" w:color="auto"/>
      </w:divBdr>
    </w:div>
    <w:div w:id="245917338">
      <w:bodyDiv w:val="1"/>
      <w:marLeft w:val="0"/>
      <w:marRight w:val="0"/>
      <w:marTop w:val="0"/>
      <w:marBottom w:val="0"/>
      <w:divBdr>
        <w:top w:val="none" w:sz="0" w:space="0" w:color="auto"/>
        <w:left w:val="none" w:sz="0" w:space="0" w:color="auto"/>
        <w:bottom w:val="none" w:sz="0" w:space="0" w:color="auto"/>
        <w:right w:val="none" w:sz="0" w:space="0" w:color="auto"/>
      </w:divBdr>
    </w:div>
    <w:div w:id="349065907">
      <w:bodyDiv w:val="1"/>
      <w:marLeft w:val="0"/>
      <w:marRight w:val="0"/>
      <w:marTop w:val="0"/>
      <w:marBottom w:val="0"/>
      <w:divBdr>
        <w:top w:val="none" w:sz="0" w:space="0" w:color="auto"/>
        <w:left w:val="none" w:sz="0" w:space="0" w:color="auto"/>
        <w:bottom w:val="none" w:sz="0" w:space="0" w:color="auto"/>
        <w:right w:val="none" w:sz="0" w:space="0" w:color="auto"/>
      </w:divBdr>
    </w:div>
    <w:div w:id="487988708">
      <w:bodyDiv w:val="1"/>
      <w:marLeft w:val="0"/>
      <w:marRight w:val="0"/>
      <w:marTop w:val="0"/>
      <w:marBottom w:val="0"/>
      <w:divBdr>
        <w:top w:val="none" w:sz="0" w:space="0" w:color="auto"/>
        <w:left w:val="none" w:sz="0" w:space="0" w:color="auto"/>
        <w:bottom w:val="none" w:sz="0" w:space="0" w:color="auto"/>
        <w:right w:val="none" w:sz="0" w:space="0" w:color="auto"/>
      </w:divBdr>
    </w:div>
    <w:div w:id="495078659">
      <w:bodyDiv w:val="1"/>
      <w:marLeft w:val="0"/>
      <w:marRight w:val="0"/>
      <w:marTop w:val="0"/>
      <w:marBottom w:val="0"/>
      <w:divBdr>
        <w:top w:val="none" w:sz="0" w:space="0" w:color="auto"/>
        <w:left w:val="none" w:sz="0" w:space="0" w:color="auto"/>
        <w:bottom w:val="none" w:sz="0" w:space="0" w:color="auto"/>
        <w:right w:val="none" w:sz="0" w:space="0" w:color="auto"/>
      </w:divBdr>
    </w:div>
    <w:div w:id="496582550">
      <w:bodyDiv w:val="1"/>
      <w:marLeft w:val="0"/>
      <w:marRight w:val="0"/>
      <w:marTop w:val="0"/>
      <w:marBottom w:val="0"/>
      <w:divBdr>
        <w:top w:val="none" w:sz="0" w:space="0" w:color="auto"/>
        <w:left w:val="none" w:sz="0" w:space="0" w:color="auto"/>
        <w:bottom w:val="none" w:sz="0" w:space="0" w:color="auto"/>
        <w:right w:val="none" w:sz="0" w:space="0" w:color="auto"/>
      </w:divBdr>
    </w:div>
    <w:div w:id="514731664">
      <w:bodyDiv w:val="1"/>
      <w:marLeft w:val="0"/>
      <w:marRight w:val="0"/>
      <w:marTop w:val="0"/>
      <w:marBottom w:val="0"/>
      <w:divBdr>
        <w:top w:val="none" w:sz="0" w:space="0" w:color="auto"/>
        <w:left w:val="none" w:sz="0" w:space="0" w:color="auto"/>
        <w:bottom w:val="none" w:sz="0" w:space="0" w:color="auto"/>
        <w:right w:val="none" w:sz="0" w:space="0" w:color="auto"/>
      </w:divBdr>
    </w:div>
    <w:div w:id="585580195">
      <w:bodyDiv w:val="1"/>
      <w:marLeft w:val="0"/>
      <w:marRight w:val="0"/>
      <w:marTop w:val="0"/>
      <w:marBottom w:val="0"/>
      <w:divBdr>
        <w:top w:val="none" w:sz="0" w:space="0" w:color="auto"/>
        <w:left w:val="none" w:sz="0" w:space="0" w:color="auto"/>
        <w:bottom w:val="none" w:sz="0" w:space="0" w:color="auto"/>
        <w:right w:val="none" w:sz="0" w:space="0" w:color="auto"/>
      </w:divBdr>
    </w:div>
    <w:div w:id="631594727">
      <w:bodyDiv w:val="1"/>
      <w:marLeft w:val="0"/>
      <w:marRight w:val="0"/>
      <w:marTop w:val="0"/>
      <w:marBottom w:val="0"/>
      <w:divBdr>
        <w:top w:val="none" w:sz="0" w:space="0" w:color="auto"/>
        <w:left w:val="none" w:sz="0" w:space="0" w:color="auto"/>
        <w:bottom w:val="none" w:sz="0" w:space="0" w:color="auto"/>
        <w:right w:val="none" w:sz="0" w:space="0" w:color="auto"/>
      </w:divBdr>
    </w:div>
    <w:div w:id="668797717">
      <w:bodyDiv w:val="1"/>
      <w:marLeft w:val="0"/>
      <w:marRight w:val="0"/>
      <w:marTop w:val="0"/>
      <w:marBottom w:val="0"/>
      <w:divBdr>
        <w:top w:val="none" w:sz="0" w:space="0" w:color="auto"/>
        <w:left w:val="none" w:sz="0" w:space="0" w:color="auto"/>
        <w:bottom w:val="none" w:sz="0" w:space="0" w:color="auto"/>
        <w:right w:val="none" w:sz="0" w:space="0" w:color="auto"/>
      </w:divBdr>
    </w:div>
    <w:div w:id="695497089">
      <w:bodyDiv w:val="1"/>
      <w:marLeft w:val="0"/>
      <w:marRight w:val="0"/>
      <w:marTop w:val="0"/>
      <w:marBottom w:val="0"/>
      <w:divBdr>
        <w:top w:val="none" w:sz="0" w:space="0" w:color="auto"/>
        <w:left w:val="none" w:sz="0" w:space="0" w:color="auto"/>
        <w:bottom w:val="none" w:sz="0" w:space="0" w:color="auto"/>
        <w:right w:val="none" w:sz="0" w:space="0" w:color="auto"/>
      </w:divBdr>
    </w:div>
    <w:div w:id="708145915">
      <w:bodyDiv w:val="1"/>
      <w:marLeft w:val="0"/>
      <w:marRight w:val="0"/>
      <w:marTop w:val="0"/>
      <w:marBottom w:val="0"/>
      <w:divBdr>
        <w:top w:val="none" w:sz="0" w:space="0" w:color="auto"/>
        <w:left w:val="none" w:sz="0" w:space="0" w:color="auto"/>
        <w:bottom w:val="none" w:sz="0" w:space="0" w:color="auto"/>
        <w:right w:val="none" w:sz="0" w:space="0" w:color="auto"/>
      </w:divBdr>
    </w:div>
    <w:div w:id="712117311">
      <w:bodyDiv w:val="1"/>
      <w:marLeft w:val="0"/>
      <w:marRight w:val="0"/>
      <w:marTop w:val="0"/>
      <w:marBottom w:val="0"/>
      <w:divBdr>
        <w:top w:val="none" w:sz="0" w:space="0" w:color="auto"/>
        <w:left w:val="none" w:sz="0" w:space="0" w:color="auto"/>
        <w:bottom w:val="none" w:sz="0" w:space="0" w:color="auto"/>
        <w:right w:val="none" w:sz="0" w:space="0" w:color="auto"/>
      </w:divBdr>
    </w:div>
    <w:div w:id="769931895">
      <w:bodyDiv w:val="1"/>
      <w:marLeft w:val="0"/>
      <w:marRight w:val="0"/>
      <w:marTop w:val="0"/>
      <w:marBottom w:val="0"/>
      <w:divBdr>
        <w:top w:val="none" w:sz="0" w:space="0" w:color="auto"/>
        <w:left w:val="none" w:sz="0" w:space="0" w:color="auto"/>
        <w:bottom w:val="none" w:sz="0" w:space="0" w:color="auto"/>
        <w:right w:val="none" w:sz="0" w:space="0" w:color="auto"/>
      </w:divBdr>
    </w:div>
    <w:div w:id="787512466">
      <w:bodyDiv w:val="1"/>
      <w:marLeft w:val="0"/>
      <w:marRight w:val="0"/>
      <w:marTop w:val="0"/>
      <w:marBottom w:val="0"/>
      <w:divBdr>
        <w:top w:val="none" w:sz="0" w:space="0" w:color="auto"/>
        <w:left w:val="none" w:sz="0" w:space="0" w:color="auto"/>
        <w:bottom w:val="none" w:sz="0" w:space="0" w:color="auto"/>
        <w:right w:val="none" w:sz="0" w:space="0" w:color="auto"/>
      </w:divBdr>
    </w:div>
    <w:div w:id="825442580">
      <w:bodyDiv w:val="1"/>
      <w:marLeft w:val="0"/>
      <w:marRight w:val="0"/>
      <w:marTop w:val="0"/>
      <w:marBottom w:val="0"/>
      <w:divBdr>
        <w:top w:val="none" w:sz="0" w:space="0" w:color="auto"/>
        <w:left w:val="none" w:sz="0" w:space="0" w:color="auto"/>
        <w:bottom w:val="none" w:sz="0" w:space="0" w:color="auto"/>
        <w:right w:val="none" w:sz="0" w:space="0" w:color="auto"/>
      </w:divBdr>
    </w:div>
    <w:div w:id="844785828">
      <w:bodyDiv w:val="1"/>
      <w:marLeft w:val="0"/>
      <w:marRight w:val="0"/>
      <w:marTop w:val="0"/>
      <w:marBottom w:val="0"/>
      <w:divBdr>
        <w:top w:val="none" w:sz="0" w:space="0" w:color="auto"/>
        <w:left w:val="none" w:sz="0" w:space="0" w:color="auto"/>
        <w:bottom w:val="none" w:sz="0" w:space="0" w:color="auto"/>
        <w:right w:val="none" w:sz="0" w:space="0" w:color="auto"/>
      </w:divBdr>
    </w:div>
    <w:div w:id="865868453">
      <w:bodyDiv w:val="1"/>
      <w:marLeft w:val="0"/>
      <w:marRight w:val="0"/>
      <w:marTop w:val="0"/>
      <w:marBottom w:val="0"/>
      <w:divBdr>
        <w:top w:val="none" w:sz="0" w:space="0" w:color="auto"/>
        <w:left w:val="none" w:sz="0" w:space="0" w:color="auto"/>
        <w:bottom w:val="none" w:sz="0" w:space="0" w:color="auto"/>
        <w:right w:val="none" w:sz="0" w:space="0" w:color="auto"/>
      </w:divBdr>
    </w:div>
    <w:div w:id="898905086">
      <w:bodyDiv w:val="1"/>
      <w:marLeft w:val="0"/>
      <w:marRight w:val="0"/>
      <w:marTop w:val="0"/>
      <w:marBottom w:val="0"/>
      <w:divBdr>
        <w:top w:val="none" w:sz="0" w:space="0" w:color="auto"/>
        <w:left w:val="none" w:sz="0" w:space="0" w:color="auto"/>
        <w:bottom w:val="none" w:sz="0" w:space="0" w:color="auto"/>
        <w:right w:val="none" w:sz="0" w:space="0" w:color="auto"/>
      </w:divBdr>
    </w:div>
    <w:div w:id="921572124">
      <w:bodyDiv w:val="1"/>
      <w:marLeft w:val="0"/>
      <w:marRight w:val="0"/>
      <w:marTop w:val="0"/>
      <w:marBottom w:val="0"/>
      <w:divBdr>
        <w:top w:val="none" w:sz="0" w:space="0" w:color="auto"/>
        <w:left w:val="none" w:sz="0" w:space="0" w:color="auto"/>
        <w:bottom w:val="none" w:sz="0" w:space="0" w:color="auto"/>
        <w:right w:val="none" w:sz="0" w:space="0" w:color="auto"/>
      </w:divBdr>
    </w:div>
    <w:div w:id="1018970560">
      <w:bodyDiv w:val="1"/>
      <w:marLeft w:val="0"/>
      <w:marRight w:val="0"/>
      <w:marTop w:val="0"/>
      <w:marBottom w:val="0"/>
      <w:divBdr>
        <w:top w:val="none" w:sz="0" w:space="0" w:color="auto"/>
        <w:left w:val="none" w:sz="0" w:space="0" w:color="auto"/>
        <w:bottom w:val="none" w:sz="0" w:space="0" w:color="auto"/>
        <w:right w:val="none" w:sz="0" w:space="0" w:color="auto"/>
      </w:divBdr>
    </w:div>
    <w:div w:id="1084104061">
      <w:bodyDiv w:val="1"/>
      <w:marLeft w:val="0"/>
      <w:marRight w:val="0"/>
      <w:marTop w:val="0"/>
      <w:marBottom w:val="0"/>
      <w:divBdr>
        <w:top w:val="none" w:sz="0" w:space="0" w:color="auto"/>
        <w:left w:val="none" w:sz="0" w:space="0" w:color="auto"/>
        <w:bottom w:val="none" w:sz="0" w:space="0" w:color="auto"/>
        <w:right w:val="none" w:sz="0" w:space="0" w:color="auto"/>
      </w:divBdr>
    </w:div>
    <w:div w:id="1086876214">
      <w:bodyDiv w:val="1"/>
      <w:marLeft w:val="0"/>
      <w:marRight w:val="0"/>
      <w:marTop w:val="0"/>
      <w:marBottom w:val="0"/>
      <w:divBdr>
        <w:top w:val="none" w:sz="0" w:space="0" w:color="auto"/>
        <w:left w:val="none" w:sz="0" w:space="0" w:color="auto"/>
        <w:bottom w:val="none" w:sz="0" w:space="0" w:color="auto"/>
        <w:right w:val="none" w:sz="0" w:space="0" w:color="auto"/>
      </w:divBdr>
    </w:div>
    <w:div w:id="1122461510">
      <w:bodyDiv w:val="1"/>
      <w:marLeft w:val="0"/>
      <w:marRight w:val="0"/>
      <w:marTop w:val="0"/>
      <w:marBottom w:val="0"/>
      <w:divBdr>
        <w:top w:val="none" w:sz="0" w:space="0" w:color="auto"/>
        <w:left w:val="none" w:sz="0" w:space="0" w:color="auto"/>
        <w:bottom w:val="none" w:sz="0" w:space="0" w:color="auto"/>
        <w:right w:val="none" w:sz="0" w:space="0" w:color="auto"/>
      </w:divBdr>
    </w:div>
    <w:div w:id="1147160274">
      <w:bodyDiv w:val="1"/>
      <w:marLeft w:val="0"/>
      <w:marRight w:val="0"/>
      <w:marTop w:val="0"/>
      <w:marBottom w:val="0"/>
      <w:divBdr>
        <w:top w:val="none" w:sz="0" w:space="0" w:color="auto"/>
        <w:left w:val="none" w:sz="0" w:space="0" w:color="auto"/>
        <w:bottom w:val="none" w:sz="0" w:space="0" w:color="auto"/>
        <w:right w:val="none" w:sz="0" w:space="0" w:color="auto"/>
      </w:divBdr>
    </w:div>
    <w:div w:id="1384325515">
      <w:bodyDiv w:val="1"/>
      <w:marLeft w:val="0"/>
      <w:marRight w:val="0"/>
      <w:marTop w:val="0"/>
      <w:marBottom w:val="0"/>
      <w:divBdr>
        <w:top w:val="none" w:sz="0" w:space="0" w:color="auto"/>
        <w:left w:val="none" w:sz="0" w:space="0" w:color="auto"/>
        <w:bottom w:val="none" w:sz="0" w:space="0" w:color="auto"/>
        <w:right w:val="none" w:sz="0" w:space="0" w:color="auto"/>
      </w:divBdr>
    </w:div>
    <w:div w:id="1388263411">
      <w:bodyDiv w:val="1"/>
      <w:marLeft w:val="0"/>
      <w:marRight w:val="0"/>
      <w:marTop w:val="0"/>
      <w:marBottom w:val="0"/>
      <w:divBdr>
        <w:top w:val="none" w:sz="0" w:space="0" w:color="auto"/>
        <w:left w:val="none" w:sz="0" w:space="0" w:color="auto"/>
        <w:bottom w:val="none" w:sz="0" w:space="0" w:color="auto"/>
        <w:right w:val="none" w:sz="0" w:space="0" w:color="auto"/>
      </w:divBdr>
    </w:div>
    <w:div w:id="1414233891">
      <w:bodyDiv w:val="1"/>
      <w:marLeft w:val="0"/>
      <w:marRight w:val="0"/>
      <w:marTop w:val="0"/>
      <w:marBottom w:val="0"/>
      <w:divBdr>
        <w:top w:val="none" w:sz="0" w:space="0" w:color="auto"/>
        <w:left w:val="none" w:sz="0" w:space="0" w:color="auto"/>
        <w:bottom w:val="none" w:sz="0" w:space="0" w:color="auto"/>
        <w:right w:val="none" w:sz="0" w:space="0" w:color="auto"/>
      </w:divBdr>
    </w:div>
    <w:div w:id="1424033357">
      <w:bodyDiv w:val="1"/>
      <w:marLeft w:val="0"/>
      <w:marRight w:val="0"/>
      <w:marTop w:val="0"/>
      <w:marBottom w:val="0"/>
      <w:divBdr>
        <w:top w:val="none" w:sz="0" w:space="0" w:color="auto"/>
        <w:left w:val="none" w:sz="0" w:space="0" w:color="auto"/>
        <w:bottom w:val="none" w:sz="0" w:space="0" w:color="auto"/>
        <w:right w:val="none" w:sz="0" w:space="0" w:color="auto"/>
      </w:divBdr>
    </w:div>
    <w:div w:id="1504004798">
      <w:bodyDiv w:val="1"/>
      <w:marLeft w:val="0"/>
      <w:marRight w:val="0"/>
      <w:marTop w:val="0"/>
      <w:marBottom w:val="0"/>
      <w:divBdr>
        <w:top w:val="none" w:sz="0" w:space="0" w:color="auto"/>
        <w:left w:val="none" w:sz="0" w:space="0" w:color="auto"/>
        <w:bottom w:val="none" w:sz="0" w:space="0" w:color="auto"/>
        <w:right w:val="none" w:sz="0" w:space="0" w:color="auto"/>
      </w:divBdr>
    </w:div>
    <w:div w:id="1554733237">
      <w:bodyDiv w:val="1"/>
      <w:marLeft w:val="0"/>
      <w:marRight w:val="0"/>
      <w:marTop w:val="0"/>
      <w:marBottom w:val="0"/>
      <w:divBdr>
        <w:top w:val="none" w:sz="0" w:space="0" w:color="auto"/>
        <w:left w:val="none" w:sz="0" w:space="0" w:color="auto"/>
        <w:bottom w:val="none" w:sz="0" w:space="0" w:color="auto"/>
        <w:right w:val="none" w:sz="0" w:space="0" w:color="auto"/>
      </w:divBdr>
    </w:div>
    <w:div w:id="1563712951">
      <w:bodyDiv w:val="1"/>
      <w:marLeft w:val="0"/>
      <w:marRight w:val="0"/>
      <w:marTop w:val="0"/>
      <w:marBottom w:val="0"/>
      <w:divBdr>
        <w:top w:val="none" w:sz="0" w:space="0" w:color="auto"/>
        <w:left w:val="none" w:sz="0" w:space="0" w:color="auto"/>
        <w:bottom w:val="none" w:sz="0" w:space="0" w:color="auto"/>
        <w:right w:val="none" w:sz="0" w:space="0" w:color="auto"/>
      </w:divBdr>
    </w:div>
    <w:div w:id="1652372475">
      <w:bodyDiv w:val="1"/>
      <w:marLeft w:val="0"/>
      <w:marRight w:val="0"/>
      <w:marTop w:val="0"/>
      <w:marBottom w:val="0"/>
      <w:divBdr>
        <w:top w:val="none" w:sz="0" w:space="0" w:color="auto"/>
        <w:left w:val="none" w:sz="0" w:space="0" w:color="auto"/>
        <w:bottom w:val="none" w:sz="0" w:space="0" w:color="auto"/>
        <w:right w:val="none" w:sz="0" w:space="0" w:color="auto"/>
      </w:divBdr>
    </w:div>
    <w:div w:id="1686788402">
      <w:bodyDiv w:val="1"/>
      <w:marLeft w:val="0"/>
      <w:marRight w:val="0"/>
      <w:marTop w:val="0"/>
      <w:marBottom w:val="0"/>
      <w:divBdr>
        <w:top w:val="none" w:sz="0" w:space="0" w:color="auto"/>
        <w:left w:val="none" w:sz="0" w:space="0" w:color="auto"/>
        <w:bottom w:val="none" w:sz="0" w:space="0" w:color="auto"/>
        <w:right w:val="none" w:sz="0" w:space="0" w:color="auto"/>
      </w:divBdr>
    </w:div>
    <w:div w:id="1723361787">
      <w:bodyDiv w:val="1"/>
      <w:marLeft w:val="0"/>
      <w:marRight w:val="0"/>
      <w:marTop w:val="0"/>
      <w:marBottom w:val="0"/>
      <w:divBdr>
        <w:top w:val="none" w:sz="0" w:space="0" w:color="auto"/>
        <w:left w:val="none" w:sz="0" w:space="0" w:color="auto"/>
        <w:bottom w:val="none" w:sz="0" w:space="0" w:color="auto"/>
        <w:right w:val="none" w:sz="0" w:space="0" w:color="auto"/>
      </w:divBdr>
    </w:div>
    <w:div w:id="1733313763">
      <w:bodyDiv w:val="1"/>
      <w:marLeft w:val="0"/>
      <w:marRight w:val="0"/>
      <w:marTop w:val="0"/>
      <w:marBottom w:val="0"/>
      <w:divBdr>
        <w:top w:val="none" w:sz="0" w:space="0" w:color="auto"/>
        <w:left w:val="none" w:sz="0" w:space="0" w:color="auto"/>
        <w:bottom w:val="none" w:sz="0" w:space="0" w:color="auto"/>
        <w:right w:val="none" w:sz="0" w:space="0" w:color="auto"/>
      </w:divBdr>
    </w:div>
    <w:div w:id="1816098152">
      <w:bodyDiv w:val="1"/>
      <w:marLeft w:val="0"/>
      <w:marRight w:val="0"/>
      <w:marTop w:val="0"/>
      <w:marBottom w:val="0"/>
      <w:divBdr>
        <w:top w:val="none" w:sz="0" w:space="0" w:color="auto"/>
        <w:left w:val="none" w:sz="0" w:space="0" w:color="auto"/>
        <w:bottom w:val="none" w:sz="0" w:space="0" w:color="auto"/>
        <w:right w:val="none" w:sz="0" w:space="0" w:color="auto"/>
      </w:divBdr>
    </w:div>
    <w:div w:id="1827474137">
      <w:bodyDiv w:val="1"/>
      <w:marLeft w:val="0"/>
      <w:marRight w:val="0"/>
      <w:marTop w:val="0"/>
      <w:marBottom w:val="0"/>
      <w:divBdr>
        <w:top w:val="none" w:sz="0" w:space="0" w:color="auto"/>
        <w:left w:val="none" w:sz="0" w:space="0" w:color="auto"/>
        <w:bottom w:val="none" w:sz="0" w:space="0" w:color="auto"/>
        <w:right w:val="none" w:sz="0" w:space="0" w:color="auto"/>
      </w:divBdr>
    </w:div>
    <w:div w:id="1911382488">
      <w:bodyDiv w:val="1"/>
      <w:marLeft w:val="0"/>
      <w:marRight w:val="0"/>
      <w:marTop w:val="0"/>
      <w:marBottom w:val="0"/>
      <w:divBdr>
        <w:top w:val="none" w:sz="0" w:space="0" w:color="auto"/>
        <w:left w:val="none" w:sz="0" w:space="0" w:color="auto"/>
        <w:bottom w:val="none" w:sz="0" w:space="0" w:color="auto"/>
        <w:right w:val="none" w:sz="0" w:space="0" w:color="auto"/>
      </w:divBdr>
    </w:div>
    <w:div w:id="1979649724">
      <w:bodyDiv w:val="1"/>
      <w:marLeft w:val="0"/>
      <w:marRight w:val="0"/>
      <w:marTop w:val="0"/>
      <w:marBottom w:val="0"/>
      <w:divBdr>
        <w:top w:val="none" w:sz="0" w:space="0" w:color="auto"/>
        <w:left w:val="none" w:sz="0" w:space="0" w:color="auto"/>
        <w:bottom w:val="none" w:sz="0" w:space="0" w:color="auto"/>
        <w:right w:val="none" w:sz="0" w:space="0" w:color="auto"/>
      </w:divBdr>
    </w:div>
    <w:div w:id="210687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end\Desktop\Committee%20Report%20Jan%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CF765-B12A-410A-A5E5-CBA748AE3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Report Jan 2018</Template>
  <TotalTime>13</TotalTime>
  <Pages>7</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Henderson</dc:creator>
  <cp:lastModifiedBy>Anne Macrae - Chief Executive Office</cp:lastModifiedBy>
  <cp:revision>5</cp:revision>
  <cp:lastPrinted>2018-11-09T11:29:00Z</cp:lastPrinted>
  <dcterms:created xsi:type="dcterms:W3CDTF">2018-10-25T09:45:00Z</dcterms:created>
  <dcterms:modified xsi:type="dcterms:W3CDTF">2018-11-09T11:30:00Z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-1583750141</vt:i4>
  </property>
  <property fmtid="{D5CDD505-2E9C-101B-9397-08002B2CF9AE}" pid="3" name="_NewReviewCycle">
    <vt:lpwstr/>
  </property>
  <property fmtid="{D5CDD505-2E9C-101B-9397-08002B2CF9AE}" pid="4" name="_EmailSubject">
    <vt:lpwstr>Sutherland HRA Capital Programme 2019-21 </vt:lpwstr>
  </property>
  <property fmtid="{D5CDD505-2E9C-101B-9397-08002B2CF9AE}" pid="5" name="_AuthorEmail">
    <vt:lpwstr>Jonathan.Henderson@highland.gov.uk</vt:lpwstr>
  </property>
  <property fmtid="{D5CDD505-2E9C-101B-9397-08002B2CF9AE}" pid="6" name="_AuthorEmailDisplayName">
    <vt:lpwstr>Jonathan Henderson</vt:lpwstr>
  </property>
  <property fmtid="{D5CDD505-2E9C-101B-9397-08002B2CF9AE}" pid="7" name="_PreviousAdHocReviewCycleID">
    <vt:i4>1524723311</vt:i4>
  </property>
  <property fmtid="{D5CDD505-2E9C-101B-9397-08002B2CF9AE}" pid="8" name="_ReviewingToolsShownOnce">
    <vt:lpwstr/>
  </property>
</Properties>
</file>